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24A197">
      <w:pPr>
        <w:tabs>
          <w:tab w:val="left" w:pos="4678"/>
        </w:tabs>
        <w:autoSpaceDE w:val="0"/>
        <w:autoSpaceDN w:val="0"/>
        <w:adjustRightInd w:val="0"/>
        <w:ind w:firstLine="420" w:firstLineChars="50"/>
        <w:jc w:val="right"/>
        <w:rPr>
          <w:rFonts w:hint="eastAsia" w:ascii="宋体" w:hAnsi="宋体" w:eastAsia="宋体" w:cs="新宋体-18030"/>
          <w:kern w:val="0"/>
          <w:sz w:val="84"/>
          <w:szCs w:val="84"/>
          <w:highlight w:val="none"/>
        </w:rPr>
      </w:pPr>
      <w:r>
        <w:rPr>
          <w:rFonts w:ascii="宋体" w:hAnsi="宋体" w:eastAsia="宋体" w:cs="新宋体-18030"/>
          <w:kern w:val="0"/>
          <w:sz w:val="84"/>
          <w:szCs w:val="84"/>
          <w:highlight w:val="none"/>
        </w:rPr>
        <w:t>JJF</w:t>
      </w:r>
    </w:p>
    <w:p w14:paraId="0657F168">
      <w:pPr>
        <w:autoSpaceDE w:val="0"/>
        <w:autoSpaceDN w:val="0"/>
        <w:adjustRightInd w:val="0"/>
        <w:jc w:val="left"/>
        <w:rPr>
          <w:rFonts w:hint="eastAsia" w:ascii="宋体" w:hAnsi="宋体" w:eastAsia="宋体" w:cs="..ì."/>
          <w:kern w:val="0"/>
          <w:sz w:val="52"/>
          <w:szCs w:val="52"/>
          <w:highlight w:val="none"/>
        </w:rPr>
      </w:pPr>
    </w:p>
    <w:p w14:paraId="76D4C432">
      <w:pPr>
        <w:autoSpaceDE w:val="0"/>
        <w:autoSpaceDN w:val="0"/>
        <w:adjustRightInd w:val="0"/>
        <w:jc w:val="center"/>
        <w:rPr>
          <w:rFonts w:hint="eastAsia" w:ascii="华文中宋" w:hAnsi="华文中宋" w:eastAsia="华文中宋" w:cs="Arial"/>
          <w:b/>
          <w:kern w:val="0"/>
          <w:sz w:val="52"/>
          <w:szCs w:val="52"/>
          <w:highlight w:val="none"/>
        </w:rPr>
      </w:pPr>
      <w:r>
        <w:rPr>
          <w:rFonts w:hint="eastAsia" w:ascii="华文中宋" w:hAnsi="华文中宋" w:eastAsia="华文中宋" w:cs="Arial"/>
          <w:b/>
          <w:kern w:val="0"/>
          <w:sz w:val="52"/>
          <w:szCs w:val="52"/>
          <w:highlight w:val="none"/>
        </w:rPr>
        <w:t>中华人民共和国国家计量技术规范</w:t>
      </w:r>
    </w:p>
    <w:p w14:paraId="5B77B2D1">
      <w:pPr>
        <w:ind w:firstLine="480"/>
        <w:rPr>
          <w:rFonts w:eastAsia="宋体"/>
          <w:highlight w:val="none"/>
        </w:rPr>
      </w:pPr>
    </w:p>
    <w:p w14:paraId="1A13D11F">
      <w:pPr>
        <w:tabs>
          <w:tab w:val="left" w:pos="6390"/>
        </w:tabs>
        <w:ind w:firstLine="5529" w:firstLineChars="1967"/>
        <w:jc w:val="right"/>
        <w:rPr>
          <w:rFonts w:hint="eastAsia" w:ascii="黑体" w:hAnsi="黑体" w:eastAsia="黑体" w:cs="Arial"/>
          <w:b/>
          <w:highlight w:val="none"/>
        </w:rPr>
      </w:pPr>
      <w:r>
        <w:rPr>
          <w:rFonts w:ascii="黑体" w:hAnsi="黑体" w:eastAsia="黑体"/>
          <w:b/>
          <w:sz w:val="28"/>
          <w:szCs w:val="28"/>
          <w:highlight w:val="none"/>
        </w:rPr>
        <w:t>JJF</w:t>
      </w:r>
      <w:r>
        <w:rPr>
          <w:rFonts w:hint="eastAsia" w:ascii="黑体" w:hAnsi="黑体" w:eastAsia="黑体"/>
          <w:b/>
          <w:sz w:val="28"/>
          <w:szCs w:val="28"/>
          <w:highlight w:val="none"/>
        </w:rPr>
        <w:t xml:space="preserve"> </w:t>
      </w:r>
      <w:r>
        <w:rPr>
          <w:rFonts w:ascii="黑体" w:hAnsi="黑体" w:eastAsia="黑体" w:cs="Arial"/>
          <w:b/>
          <w:sz w:val="28"/>
          <w:szCs w:val="28"/>
          <w:highlight w:val="none"/>
        </w:rPr>
        <w:t>××××-××××</w:t>
      </w:r>
    </w:p>
    <w:p w14:paraId="054A59E6">
      <w:pPr>
        <w:ind w:firstLine="480"/>
        <w:rPr>
          <w:rFonts w:eastAsia="宋体"/>
          <w:highlight w:val="none"/>
        </w:rPr>
      </w:pPr>
    </w:p>
    <w:p w14:paraId="1067728C">
      <w:pPr>
        <w:ind w:firstLine="480"/>
        <w:rPr>
          <w:rFonts w:eastAsia="宋体"/>
          <w:highlight w:val="none"/>
        </w:rPr>
      </w:pPr>
      <w:r>
        <w:rPr>
          <w:rFonts w:eastAsia="宋体"/>
          <w:highlight w:val="none"/>
        </w:rPr>
        <mc:AlternateContent>
          <mc:Choice Requires="wps">
            <w:drawing>
              <wp:anchor distT="0" distB="0" distL="114300" distR="114300" simplePos="0" relativeHeight="251661312" behindDoc="0" locked="0" layoutInCell="1" allowOverlap="1">
                <wp:simplePos x="0" y="0"/>
                <wp:positionH relativeFrom="column">
                  <wp:posOffset>-6985</wp:posOffset>
                </wp:positionH>
                <wp:positionV relativeFrom="paragraph">
                  <wp:posOffset>118745</wp:posOffset>
                </wp:positionV>
                <wp:extent cx="5707380" cy="0"/>
                <wp:effectExtent l="12065" t="12700" r="14605" b="6350"/>
                <wp:wrapNone/>
                <wp:docPr id="6" name="Line 2"/>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2" o:spid="_x0000_s1026" o:spt="20" style="position:absolute;left:0pt;margin-left:-0.55pt;margin-top:9.35pt;height:0pt;width:449.4pt;z-index:251661312;mso-width-relative:page;mso-height-relative:page;" filled="f" stroked="t" coordsize="21600,21600" o:gfxdata="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wGo8U1gAAAAgBAAAPAAAAAAAAAAEAIAAAACIAAABkcnMvZG93&#10;bnJldi54bWxQSwECFAAUAAAACACHTuJAvHZBvskBAACgAwAADgAAAAAAAAABACAAAAAlAQAAZHJz&#10;L2Uyb0RvYy54bWxQSwUGAAAAAAYABgBZAQAAYAUAAAAA&#10;">
                <v:fill on="f" focussize="0,0"/>
                <v:stroke weight="1pt" color="#000000" joinstyle="round"/>
                <v:imagedata o:title=""/>
                <o:lock v:ext="edit" aspectratio="f"/>
              </v:line>
            </w:pict>
          </mc:Fallback>
        </mc:AlternateContent>
      </w:r>
    </w:p>
    <w:p w14:paraId="6BA21BDB">
      <w:pPr>
        <w:ind w:firstLine="480"/>
        <w:rPr>
          <w:rFonts w:eastAsia="宋体"/>
          <w:highlight w:val="none"/>
        </w:rPr>
      </w:pPr>
    </w:p>
    <w:p w14:paraId="451386D6">
      <w:pPr>
        <w:ind w:firstLine="480"/>
        <w:rPr>
          <w:rFonts w:eastAsia="宋体"/>
          <w:highlight w:val="none"/>
        </w:rPr>
      </w:pPr>
    </w:p>
    <w:p w14:paraId="19289756">
      <w:pPr>
        <w:ind w:firstLine="480"/>
        <w:rPr>
          <w:rFonts w:eastAsia="宋体"/>
          <w:highlight w:val="none"/>
        </w:rPr>
      </w:pPr>
    </w:p>
    <w:p w14:paraId="45427EAE">
      <w:pPr>
        <w:ind w:firstLine="480"/>
        <w:rPr>
          <w:rFonts w:eastAsia="宋体"/>
          <w:highlight w:val="none"/>
        </w:rPr>
      </w:pPr>
    </w:p>
    <w:p w14:paraId="2302BB25">
      <w:pPr>
        <w:ind w:firstLine="480"/>
        <w:rPr>
          <w:rFonts w:eastAsia="宋体"/>
          <w:highlight w:val="none"/>
        </w:rPr>
      </w:pPr>
    </w:p>
    <w:p w14:paraId="3AD23D6E">
      <w:pPr>
        <w:ind w:firstLine="480"/>
        <w:rPr>
          <w:rFonts w:eastAsia="宋体"/>
          <w:highlight w:val="none"/>
        </w:rPr>
      </w:pPr>
    </w:p>
    <w:p w14:paraId="2E8B6746">
      <w:pPr>
        <w:ind w:firstLine="480"/>
        <w:rPr>
          <w:rFonts w:eastAsia="宋体"/>
          <w:highlight w:val="none"/>
        </w:rPr>
      </w:pPr>
    </w:p>
    <w:p w14:paraId="3505B8C1">
      <w:pPr>
        <w:ind w:firstLine="480"/>
        <w:rPr>
          <w:rFonts w:eastAsia="宋体"/>
          <w:highlight w:val="none"/>
        </w:rPr>
      </w:pPr>
    </w:p>
    <w:p w14:paraId="378D932A">
      <w:pPr>
        <w:ind w:firstLine="1040"/>
        <w:jc w:val="center"/>
        <w:rPr>
          <w:rFonts w:eastAsia="宋体"/>
          <w:highlight w:val="none"/>
        </w:rPr>
      </w:pPr>
      <w:r>
        <w:rPr>
          <w:rFonts w:hint="eastAsia" w:ascii="黑体" w:hAnsi="黑体" w:eastAsia="黑体" w:cs="黑体"/>
          <w:sz w:val="52"/>
          <w:szCs w:val="20"/>
          <w:highlight w:val="none"/>
        </w:rPr>
        <w:t>显色指数</w:t>
      </w:r>
      <w:r>
        <w:rPr>
          <w:rFonts w:hint="eastAsia" w:eastAsia="黑体"/>
          <w:sz w:val="52"/>
          <w:szCs w:val="20"/>
          <w:highlight w:val="none"/>
        </w:rPr>
        <w:t>校准规范</w:t>
      </w:r>
    </w:p>
    <w:p w14:paraId="4D537DEF">
      <w:pPr>
        <w:ind w:firstLine="562"/>
        <w:jc w:val="center"/>
        <w:rPr>
          <w:rFonts w:hint="eastAsia" w:ascii="黑体" w:hAnsi="黑体" w:eastAsia="黑体"/>
          <w:b/>
          <w:sz w:val="28"/>
          <w:szCs w:val="28"/>
          <w:highlight w:val="none"/>
        </w:rPr>
      </w:pPr>
    </w:p>
    <w:p w14:paraId="17132533">
      <w:pPr>
        <w:ind w:firstLine="560"/>
        <w:jc w:val="center"/>
        <w:rPr>
          <w:rFonts w:hint="eastAsia" w:ascii="黑体" w:hAnsi="黑体" w:eastAsia="黑体"/>
          <w:bCs/>
          <w:sz w:val="28"/>
          <w:szCs w:val="28"/>
          <w:highlight w:val="none"/>
        </w:rPr>
      </w:pPr>
      <w:r>
        <w:rPr>
          <w:rFonts w:ascii="黑体" w:hAnsi="黑体" w:eastAsia="黑体"/>
          <w:bCs/>
          <w:sz w:val="28"/>
          <w:szCs w:val="28"/>
          <w:highlight w:val="none"/>
        </w:rPr>
        <w:t>Calibration Specification for Colour Rendering Index</w:t>
      </w:r>
    </w:p>
    <w:p w14:paraId="5486D42B">
      <w:pPr>
        <w:ind w:firstLine="560"/>
        <w:rPr>
          <w:rFonts w:hint="eastAsia" w:ascii="黑体" w:hAnsi="黑体" w:eastAsia="黑体"/>
          <w:sz w:val="28"/>
          <w:szCs w:val="28"/>
          <w:highlight w:val="none"/>
        </w:rPr>
      </w:pPr>
    </w:p>
    <w:p w14:paraId="538649C4">
      <w:pPr>
        <w:ind w:firstLine="560"/>
        <w:rPr>
          <w:rFonts w:hint="eastAsia" w:ascii="黑体" w:hAnsi="黑体" w:eastAsia="黑体"/>
          <w:sz w:val="28"/>
          <w:szCs w:val="28"/>
          <w:highlight w:val="none"/>
        </w:rPr>
      </w:pPr>
    </w:p>
    <w:p w14:paraId="61C8BD5E">
      <w:pPr>
        <w:ind w:firstLine="482"/>
        <w:jc w:val="center"/>
        <w:rPr>
          <w:rFonts w:hint="eastAsia" w:ascii="宋体" w:hAnsi="宋体" w:eastAsia="宋体"/>
          <w:b/>
          <w:szCs w:val="28"/>
          <w:highlight w:val="none"/>
        </w:rPr>
      </w:pPr>
      <w:r>
        <w:rPr>
          <w:rFonts w:hint="eastAsia" w:ascii="宋体" w:hAnsi="宋体" w:eastAsia="宋体"/>
          <w:b/>
          <w:szCs w:val="28"/>
          <w:highlight w:val="none"/>
        </w:rPr>
        <w:t>初稿</w:t>
      </w:r>
    </w:p>
    <w:p w14:paraId="6D159ED4">
      <w:pPr>
        <w:ind w:firstLine="482"/>
        <w:jc w:val="center"/>
        <w:rPr>
          <w:rFonts w:hint="eastAsia" w:ascii="宋体" w:hAnsi="宋体" w:eastAsia="宋体"/>
          <w:b/>
          <w:szCs w:val="28"/>
          <w:highlight w:val="none"/>
        </w:rPr>
      </w:pPr>
      <w:r>
        <w:rPr>
          <w:rFonts w:hint="eastAsia" w:ascii="宋体" w:hAnsi="宋体" w:eastAsia="宋体"/>
          <w:b/>
          <w:szCs w:val="28"/>
          <w:highlight w:val="none"/>
        </w:rPr>
        <w:t>（20</w:t>
      </w:r>
      <w:r>
        <w:rPr>
          <w:rFonts w:ascii="宋体" w:hAnsi="宋体" w:eastAsia="宋体"/>
          <w:b/>
          <w:szCs w:val="28"/>
          <w:highlight w:val="none"/>
        </w:rPr>
        <w:t>24.0</w:t>
      </w:r>
      <w:r>
        <w:rPr>
          <w:rFonts w:hint="eastAsia" w:ascii="宋体" w:hAnsi="宋体" w:eastAsia="宋体"/>
          <w:b/>
          <w:szCs w:val="28"/>
          <w:highlight w:val="none"/>
        </w:rPr>
        <w:t>9.02 第</w:t>
      </w:r>
      <w:r>
        <w:rPr>
          <w:rFonts w:ascii="宋体" w:hAnsi="宋体" w:eastAsia="宋体"/>
          <w:b/>
          <w:szCs w:val="28"/>
          <w:highlight w:val="none"/>
        </w:rPr>
        <w:t>1</w:t>
      </w:r>
      <w:r>
        <w:rPr>
          <w:rFonts w:hint="eastAsia" w:ascii="宋体" w:hAnsi="宋体" w:eastAsia="宋体"/>
          <w:b/>
          <w:szCs w:val="28"/>
          <w:highlight w:val="none"/>
        </w:rPr>
        <w:t>次修改）</w:t>
      </w:r>
    </w:p>
    <w:p w14:paraId="717B297E">
      <w:pPr>
        <w:ind w:firstLine="480"/>
        <w:rPr>
          <w:rFonts w:eastAsia="宋体"/>
          <w:highlight w:val="none"/>
        </w:rPr>
      </w:pPr>
    </w:p>
    <w:p w14:paraId="1CF3B7FE">
      <w:pPr>
        <w:widowControl/>
        <w:autoSpaceDE w:val="0"/>
        <w:autoSpaceDN w:val="0"/>
        <w:ind w:left="400"/>
        <w:rPr>
          <w:rFonts w:ascii="宋体" w:eastAsia="宋体"/>
          <w:kern w:val="0"/>
          <w:sz w:val="20"/>
          <w:szCs w:val="20"/>
          <w:highlight w:val="none"/>
        </w:rPr>
      </w:pPr>
    </w:p>
    <w:p w14:paraId="4CE6506F">
      <w:pPr>
        <w:widowControl/>
        <w:autoSpaceDE w:val="0"/>
        <w:autoSpaceDN w:val="0"/>
        <w:ind w:left="400"/>
        <w:rPr>
          <w:rFonts w:ascii="宋体" w:eastAsia="宋体"/>
          <w:kern w:val="0"/>
          <w:sz w:val="20"/>
          <w:szCs w:val="20"/>
          <w:highlight w:val="none"/>
        </w:rPr>
      </w:pPr>
    </w:p>
    <w:p w14:paraId="3AA87EE7">
      <w:pPr>
        <w:ind w:firstLine="480"/>
        <w:rPr>
          <w:rFonts w:eastAsia="宋体"/>
          <w:highlight w:val="none"/>
        </w:rPr>
      </w:pPr>
    </w:p>
    <w:p w14:paraId="6D192FD1">
      <w:pPr>
        <w:widowControl/>
        <w:autoSpaceDE w:val="0"/>
        <w:autoSpaceDN w:val="0"/>
        <w:ind w:left="400"/>
        <w:rPr>
          <w:rFonts w:ascii="宋体" w:eastAsia="宋体"/>
          <w:kern w:val="0"/>
          <w:sz w:val="20"/>
          <w:szCs w:val="20"/>
          <w:highlight w:val="none"/>
        </w:rPr>
      </w:pPr>
    </w:p>
    <w:p w14:paraId="7A4C6533">
      <w:pPr>
        <w:ind w:firstLine="480"/>
        <w:rPr>
          <w:rFonts w:eastAsia="宋体"/>
          <w:highlight w:val="none"/>
        </w:rPr>
      </w:pPr>
    </w:p>
    <w:p w14:paraId="5FD35487">
      <w:pPr>
        <w:ind w:firstLine="480"/>
        <w:rPr>
          <w:rFonts w:eastAsia="宋体"/>
          <w:highlight w:val="none"/>
        </w:rPr>
      </w:pPr>
    </w:p>
    <w:p w14:paraId="495EBAC0">
      <w:pPr>
        <w:widowControl/>
        <w:autoSpaceDE w:val="0"/>
        <w:autoSpaceDN w:val="0"/>
        <w:ind w:left="400"/>
        <w:rPr>
          <w:rFonts w:ascii="宋体" w:eastAsia="宋体"/>
          <w:kern w:val="0"/>
          <w:sz w:val="20"/>
          <w:szCs w:val="20"/>
          <w:highlight w:val="none"/>
        </w:rPr>
      </w:pPr>
    </w:p>
    <w:p w14:paraId="522F2D51">
      <w:pPr>
        <w:ind w:firstLine="240" w:firstLineChars="100"/>
        <w:rPr>
          <w:rFonts w:eastAsia="宋体"/>
          <w:b/>
          <w:sz w:val="30"/>
          <w:szCs w:val="30"/>
          <w:highlight w:val="none"/>
        </w:rPr>
      </w:pPr>
      <w:r>
        <w:rPr>
          <w:rFonts w:eastAsia="宋体"/>
          <w:highlight w:val="none"/>
        </w:rPr>
        <mc:AlternateContent>
          <mc:Choice Requires="wps">
            <w:drawing>
              <wp:anchor distT="0" distB="0" distL="114300" distR="114300" simplePos="0" relativeHeight="251660288" behindDoc="0" locked="0" layoutInCell="1" allowOverlap="1">
                <wp:simplePos x="0" y="0"/>
                <wp:positionH relativeFrom="column">
                  <wp:posOffset>-67945</wp:posOffset>
                </wp:positionH>
                <wp:positionV relativeFrom="paragraph">
                  <wp:posOffset>353060</wp:posOffset>
                </wp:positionV>
                <wp:extent cx="5707380" cy="0"/>
                <wp:effectExtent l="8255" t="11430" r="8890" b="7620"/>
                <wp:wrapNone/>
                <wp:docPr id="1349059734" name="Line 3"/>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3" o:spid="_x0000_s1026" o:spt="20" style="position:absolute;left:0pt;margin-left:-5.35pt;margin-top:27.8pt;height:0pt;width:449.4pt;z-index:251660288;mso-width-relative:page;mso-height-relative:page;" filled="f" stroked="t" coordsize="21600,21600" o:gfxdata="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Xd/ETYAAAACQEAAA8AAAAAAAAAAQAgAAAA&#10;IgAAAGRycy9kb3ducmV2LnhtbFBLAQIUABQAAAAIAIdO4kDOfWNq0gEAAKkDAAAOAAAAAAAAAAEA&#10;IAAAACcBAABkcnMvZTJvRG9jLnhtbFBLBQYAAAAABgAGAFkBAABrBQAAAAA=&#10;">
                <v:fill on="f" focussize="0,0"/>
                <v:stroke weight="1pt" color="#000000" joinstyle="round"/>
                <v:imagedata o:title=""/>
                <o:lock v:ext="edit" aspectratio="f"/>
              </v:line>
            </w:pict>
          </mc:Fallback>
        </mc:AlternateContent>
      </w:r>
      <w:r>
        <w:rPr>
          <w:rFonts w:eastAsia="宋体"/>
          <w:b/>
          <w:sz w:val="30"/>
          <w:szCs w:val="30"/>
          <w:highlight w:val="none"/>
        </w:rPr>
        <w:t>××××</w:t>
      </w:r>
      <w:r>
        <w:rPr>
          <w:rFonts w:hint="eastAsia" w:ascii="宋体" w:hAnsi="宋体" w:eastAsia="宋体"/>
          <w:b/>
          <w:sz w:val="30"/>
          <w:szCs w:val="30"/>
          <w:highlight w:val="none"/>
        </w:rPr>
        <w:t>­</w:t>
      </w:r>
      <w:r>
        <w:rPr>
          <w:rFonts w:eastAsia="宋体"/>
          <w:b/>
          <w:sz w:val="30"/>
          <w:szCs w:val="30"/>
          <w:highlight w:val="none"/>
        </w:rPr>
        <w:t>××</w:t>
      </w:r>
      <w:r>
        <w:rPr>
          <w:rFonts w:hint="eastAsia" w:ascii="宋体" w:hAnsi="宋体" w:eastAsia="宋体"/>
          <w:b/>
          <w:sz w:val="30"/>
          <w:szCs w:val="30"/>
          <w:highlight w:val="none"/>
        </w:rPr>
        <w:t>­</w:t>
      </w:r>
      <w:r>
        <w:rPr>
          <w:rFonts w:eastAsia="宋体"/>
          <w:b/>
          <w:sz w:val="30"/>
          <w:szCs w:val="30"/>
          <w:highlight w:val="none"/>
        </w:rPr>
        <w:t>××</w:t>
      </w:r>
      <w:r>
        <w:rPr>
          <w:rFonts w:hint="eastAsia" w:eastAsia="宋体"/>
          <w:b/>
          <w:sz w:val="30"/>
          <w:szCs w:val="30"/>
          <w:highlight w:val="none"/>
        </w:rPr>
        <w:t xml:space="preserve">发布                         </w:t>
      </w:r>
      <w:r>
        <w:rPr>
          <w:rFonts w:eastAsia="宋体"/>
          <w:b/>
          <w:sz w:val="30"/>
          <w:szCs w:val="30"/>
          <w:highlight w:val="none"/>
        </w:rPr>
        <w:t>××××</w:t>
      </w:r>
      <w:r>
        <w:rPr>
          <w:rFonts w:hint="eastAsia" w:ascii="宋体" w:hAnsi="宋体" w:eastAsia="宋体"/>
          <w:b/>
          <w:sz w:val="30"/>
          <w:szCs w:val="30"/>
          <w:highlight w:val="none"/>
        </w:rPr>
        <w:t>­</w:t>
      </w:r>
      <w:r>
        <w:rPr>
          <w:rFonts w:eastAsia="宋体"/>
          <w:b/>
          <w:sz w:val="30"/>
          <w:szCs w:val="30"/>
          <w:highlight w:val="none"/>
        </w:rPr>
        <w:t>××</w:t>
      </w:r>
      <w:r>
        <w:rPr>
          <w:rFonts w:hint="eastAsia" w:ascii="宋体" w:hAnsi="宋体" w:eastAsia="宋体"/>
          <w:b/>
          <w:sz w:val="30"/>
          <w:szCs w:val="30"/>
          <w:highlight w:val="none"/>
        </w:rPr>
        <w:t>­</w:t>
      </w:r>
      <w:r>
        <w:rPr>
          <w:rFonts w:eastAsia="宋体"/>
          <w:b/>
          <w:sz w:val="30"/>
          <w:szCs w:val="30"/>
          <w:highlight w:val="none"/>
        </w:rPr>
        <w:t>××</w:t>
      </w:r>
      <w:r>
        <w:rPr>
          <w:rFonts w:hint="eastAsia" w:eastAsia="宋体"/>
          <w:b/>
          <w:sz w:val="30"/>
          <w:szCs w:val="30"/>
          <w:highlight w:val="none"/>
        </w:rPr>
        <w:t>实施</w:t>
      </w:r>
    </w:p>
    <w:p w14:paraId="76EA66E5">
      <w:pPr>
        <w:ind w:firstLine="600"/>
        <w:rPr>
          <w:rFonts w:eastAsia="宋体"/>
          <w:sz w:val="30"/>
          <w:szCs w:val="30"/>
          <w:highlight w:val="none"/>
        </w:rPr>
      </w:pPr>
    </w:p>
    <w:p w14:paraId="7ACB3B03">
      <w:pPr>
        <w:autoSpaceDE w:val="0"/>
        <w:autoSpaceDN w:val="0"/>
        <w:adjustRightInd w:val="0"/>
        <w:jc w:val="center"/>
        <w:rPr>
          <w:rFonts w:hint="eastAsia" w:ascii="宋体" w:hAnsi="宋体" w:eastAsia="宋体" w:cs="..ì."/>
          <w:kern w:val="0"/>
          <w:sz w:val="28"/>
          <w:szCs w:val="28"/>
          <w:highlight w:val="none"/>
        </w:rPr>
        <w:sectPr>
          <w:headerReference r:id="rId4" w:type="first"/>
          <w:footerReference r:id="rId5" w:type="first"/>
          <w:headerReference r:id="rId3" w:type="even"/>
          <w:pgSz w:w="12240" w:h="15840"/>
          <w:pgMar w:top="1440" w:right="1800" w:bottom="1440" w:left="1800" w:header="720" w:footer="720" w:gutter="0"/>
          <w:cols w:space="720" w:num="1"/>
        </w:sectPr>
      </w:pPr>
      <w:r>
        <w:rPr>
          <w:rFonts w:hint="eastAsia" w:ascii="华文中宋" w:hAnsi="华文中宋" w:eastAsia="华文中宋" w:cs="..ì."/>
          <w:kern w:val="0"/>
          <w:sz w:val="44"/>
          <w:szCs w:val="44"/>
          <w:highlight w:val="none"/>
        </w:rPr>
        <w:t>国家市场监督管理总局</w:t>
      </w:r>
      <w:r>
        <w:rPr>
          <w:rFonts w:hint="eastAsia" w:ascii="黑体" w:hAnsi="黑体" w:eastAsia="黑体" w:cs="..ì."/>
          <w:b/>
          <w:kern w:val="0"/>
          <w:sz w:val="28"/>
          <w:szCs w:val="28"/>
          <w:highlight w:val="none"/>
        </w:rPr>
        <w:t>发</w:t>
      </w:r>
      <w:r>
        <w:rPr>
          <w:rFonts w:ascii="黑体" w:hAnsi="黑体" w:eastAsia="黑体" w:cs="..ì."/>
          <w:b/>
          <w:kern w:val="0"/>
          <w:sz w:val="28"/>
          <w:szCs w:val="28"/>
          <w:highlight w:val="none"/>
        </w:rPr>
        <w:t xml:space="preserve"> </w:t>
      </w:r>
      <w:r>
        <w:rPr>
          <w:rFonts w:hint="eastAsia" w:ascii="黑体" w:hAnsi="黑体" w:eastAsia="黑体" w:cs="..ì."/>
          <w:b/>
          <w:kern w:val="0"/>
          <w:sz w:val="28"/>
          <w:szCs w:val="28"/>
          <w:highlight w:val="none"/>
        </w:rPr>
        <w:t>布</w:t>
      </w:r>
    </w:p>
    <w:p w14:paraId="6E156278">
      <w:pPr>
        <w:autoSpaceDE w:val="0"/>
        <w:autoSpaceDN w:val="0"/>
        <w:adjustRightInd w:val="0"/>
        <w:jc w:val="center"/>
        <w:rPr>
          <w:rFonts w:hint="eastAsia" w:ascii="宋体" w:hAnsi="宋体" w:eastAsia="宋体" w:cs="..ì."/>
          <w:kern w:val="0"/>
          <w:sz w:val="28"/>
          <w:szCs w:val="28"/>
          <w:highlight w:val="none"/>
        </w:rPr>
        <w:sectPr>
          <w:type w:val="continuous"/>
          <w:pgSz w:w="12240" w:h="15840"/>
          <w:pgMar w:top="1440" w:right="1800" w:bottom="1440" w:left="1800" w:header="720" w:footer="720" w:gutter="0"/>
          <w:cols w:space="720" w:num="1"/>
        </w:sectPr>
      </w:pPr>
    </w:p>
    <w:p w14:paraId="625F97F1">
      <w:pPr>
        <w:ind w:firstLine="880"/>
        <w:jc w:val="center"/>
        <w:rPr>
          <w:rFonts w:ascii="黑体" w:eastAsia="黑体"/>
          <w:sz w:val="44"/>
          <w:szCs w:val="44"/>
          <w:highlight w:val="none"/>
        </w:rPr>
      </w:pPr>
    </w:p>
    <w:p w14:paraId="0854DC22">
      <w:pPr>
        <w:ind w:firstLine="880"/>
        <w:rPr>
          <w:rFonts w:ascii="黑体" w:eastAsia="黑体"/>
          <w:sz w:val="44"/>
          <w:szCs w:val="44"/>
          <w:highlight w:val="none"/>
        </w:rPr>
      </w:pPr>
      <w:r>
        <w:rPr>
          <w:rFonts w:ascii="黑体" w:eastAsia="黑体"/>
          <w:sz w:val="44"/>
          <w:szCs w:val="44"/>
          <w:highlight w:val="none"/>
        </w:rPr>
        <mc:AlternateContent>
          <mc:Choice Requires="wps">
            <w:drawing>
              <wp:anchor distT="0" distB="0" distL="114300" distR="114300" simplePos="0" relativeHeight="251663360" behindDoc="0" locked="0" layoutInCell="1" allowOverlap="1">
                <wp:simplePos x="0" y="0"/>
                <wp:positionH relativeFrom="column">
                  <wp:posOffset>3261360</wp:posOffset>
                </wp:positionH>
                <wp:positionV relativeFrom="paragraph">
                  <wp:posOffset>151130</wp:posOffset>
                </wp:positionV>
                <wp:extent cx="2174240" cy="1000125"/>
                <wp:effectExtent l="13335" t="8890" r="12700" b="10160"/>
                <wp:wrapNone/>
                <wp:docPr id="4" name="AutoShape 4"/>
                <wp:cNvGraphicFramePr/>
                <a:graphic xmlns:a="http://schemas.openxmlformats.org/drawingml/2006/main">
                  <a:graphicData uri="http://schemas.microsoft.com/office/word/2010/wordprocessingShape">
                    <wps:wsp>
                      <wps:cNvSpPr>
                        <a:spLocks noChangeArrowheads="1"/>
                      </wps:cNvSpPr>
                      <wps:spPr bwMode="auto">
                        <a:xfrm>
                          <a:off x="0" y="0"/>
                          <a:ext cx="2174240" cy="1000125"/>
                        </a:xfrm>
                        <a:prstGeom prst="roundRect">
                          <a:avLst>
                            <a:gd name="adj" fmla="val 16667"/>
                          </a:avLst>
                        </a:prstGeom>
                        <a:solidFill>
                          <a:srgbClr val="FFFFFF"/>
                        </a:solidFill>
                        <a:ln w="9525">
                          <a:solidFill>
                            <a:srgbClr val="000000"/>
                          </a:solidFill>
                          <a:prstDash val="dashDot"/>
                          <a:round/>
                        </a:ln>
                      </wps:spPr>
                      <wps:txbx>
                        <w:txbxContent>
                          <w:p w14:paraId="0D2CBB93">
                            <w:pPr>
                              <w:ind w:firstLine="482"/>
                              <w:rPr>
                                <w:rFonts w:ascii="Arial" w:hAnsi="Arial" w:cs="Arial"/>
                                <w:b/>
                              </w:rPr>
                            </w:pPr>
                          </w:p>
                          <w:p w14:paraId="0824BA4B">
                            <w:pPr>
                              <w:ind w:firstLine="482"/>
                              <w:rPr>
                                <w:rFonts w:ascii="Arial" w:hAnsi="Arial" w:cs="Arial"/>
                                <w:b/>
                              </w:rPr>
                            </w:pPr>
                          </w:p>
                          <w:p w14:paraId="040B7217">
                            <w:pPr>
                              <w:ind w:firstLine="562"/>
                              <w:jc w:val="center"/>
                              <w:rPr>
                                <w:rFonts w:hint="eastAsia" w:ascii="黑体" w:hAnsi="黑体" w:eastAsia="黑体"/>
                                <w:b/>
                                <w:sz w:val="28"/>
                                <w:szCs w:val="28"/>
                              </w:rPr>
                            </w:pPr>
                            <w:r>
                              <w:rPr>
                                <w:rFonts w:ascii="黑体" w:hAnsi="黑体" w:eastAsia="黑体" w:cs="Arial"/>
                                <w:b/>
                                <w:sz w:val="28"/>
                                <w:szCs w:val="28"/>
                              </w:rPr>
                              <w:t xml:space="preserve">JJF </w:t>
                            </w:r>
                            <w:r>
                              <w:rPr>
                                <w:rFonts w:hint="eastAsia" w:ascii="黑体" w:hAnsi="黑体" w:eastAsia="黑体" w:cs="Arial"/>
                                <w:b/>
                                <w:sz w:val="28"/>
                                <w:szCs w:val="28"/>
                              </w:rPr>
                              <w:t>××××</w:t>
                            </w:r>
                            <w:r>
                              <w:rPr>
                                <w:rFonts w:ascii="黑体" w:hAnsi="黑体" w:eastAsia="黑体" w:cs="Arial"/>
                                <w:b/>
                                <w:sz w:val="28"/>
                                <w:szCs w:val="28"/>
                              </w:rPr>
                              <w:t>-××××</w:t>
                            </w:r>
                          </w:p>
                        </w:txbxContent>
                      </wps:txbx>
                      <wps:bodyPr rot="0" vert="horz" wrap="square" lIns="91440" tIns="45720" rIns="91440" bIns="45720" anchor="t" anchorCtr="0" upright="1">
                        <a:noAutofit/>
                      </wps:bodyPr>
                    </wps:wsp>
                  </a:graphicData>
                </a:graphic>
              </wp:anchor>
            </w:drawing>
          </mc:Choice>
          <mc:Fallback>
            <w:pict>
              <v:roundrect id="AutoShape 4" o:spid="_x0000_s1026" o:spt="2" style="position:absolute;left:0pt;margin-left:256.8pt;margin-top:11.9pt;height:78.75pt;width:171.2pt;z-index:251663360;mso-width-relative:page;mso-height-relative:page;" fillcolor="#FFFFFF" filled="t" stroked="t" coordsize="21600,21600" arcsize="0.166666666666667" o:gfxdata="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">
                <v:fill on="t" focussize="0,0"/>
                <v:stroke color="#000000" joinstyle="round" dashstyle="dashDot"/>
                <v:imagedata o:title=""/>
                <o:lock v:ext="edit" aspectratio="f"/>
                <v:textbox>
                  <w:txbxContent>
                    <w:p w14:paraId="0D2CBB93">
                      <w:pPr>
                        <w:ind w:firstLine="482"/>
                        <w:rPr>
                          <w:rFonts w:ascii="Arial" w:hAnsi="Arial" w:cs="Arial"/>
                          <w:b/>
                        </w:rPr>
                      </w:pPr>
                    </w:p>
                    <w:p w14:paraId="0824BA4B">
                      <w:pPr>
                        <w:ind w:firstLine="482"/>
                        <w:rPr>
                          <w:rFonts w:ascii="Arial" w:hAnsi="Arial" w:cs="Arial"/>
                          <w:b/>
                        </w:rPr>
                      </w:pPr>
                    </w:p>
                    <w:p w14:paraId="040B7217">
                      <w:pPr>
                        <w:ind w:firstLine="562"/>
                        <w:jc w:val="center"/>
                        <w:rPr>
                          <w:rFonts w:hint="eastAsia" w:ascii="黑体" w:hAnsi="黑体" w:eastAsia="黑体"/>
                          <w:b/>
                          <w:sz w:val="28"/>
                          <w:szCs w:val="28"/>
                        </w:rPr>
                      </w:pPr>
                      <w:r>
                        <w:rPr>
                          <w:rFonts w:ascii="黑体" w:hAnsi="黑体" w:eastAsia="黑体" w:cs="Arial"/>
                          <w:b/>
                          <w:sz w:val="28"/>
                          <w:szCs w:val="28"/>
                        </w:rPr>
                        <w:t xml:space="preserve">JJF </w:t>
                      </w:r>
                      <w:r>
                        <w:rPr>
                          <w:rFonts w:hint="eastAsia" w:ascii="黑体" w:hAnsi="黑体" w:eastAsia="黑体" w:cs="Arial"/>
                          <w:b/>
                          <w:sz w:val="28"/>
                          <w:szCs w:val="28"/>
                        </w:rPr>
                        <w:t>××××</w:t>
                      </w:r>
                      <w:r>
                        <w:rPr>
                          <w:rFonts w:ascii="黑体" w:hAnsi="黑体" w:eastAsia="黑体" w:cs="Arial"/>
                          <w:b/>
                          <w:sz w:val="28"/>
                          <w:szCs w:val="28"/>
                        </w:rPr>
                        <w:t>-××××</w:t>
                      </w:r>
                    </w:p>
                  </w:txbxContent>
                </v:textbox>
              </v:roundrect>
            </w:pict>
          </mc:Fallback>
        </mc:AlternateContent>
      </w:r>
      <w:r>
        <w:rPr>
          <w:rFonts w:hint="eastAsia" w:ascii="黑体" w:eastAsia="黑体"/>
          <w:sz w:val="44"/>
          <w:szCs w:val="44"/>
          <w:highlight w:val="none"/>
        </w:rPr>
        <w:t>显色指数</w:t>
      </w:r>
    </w:p>
    <w:p w14:paraId="3A8DC730">
      <w:pPr>
        <w:ind w:firstLine="880"/>
        <w:rPr>
          <w:rFonts w:ascii="黑体" w:eastAsia="黑体"/>
          <w:sz w:val="44"/>
          <w:szCs w:val="44"/>
          <w:highlight w:val="none"/>
        </w:rPr>
      </w:pPr>
      <w:r>
        <w:rPr>
          <w:rFonts w:hint="eastAsia" w:ascii="黑体" w:eastAsia="黑体"/>
          <w:sz w:val="44"/>
          <w:szCs w:val="44"/>
          <w:highlight w:val="none"/>
        </w:rPr>
        <w:t>校准规范</w:t>
      </w:r>
    </w:p>
    <w:p w14:paraId="6C1F572C">
      <w:pPr>
        <w:ind w:firstLine="480"/>
        <w:rPr>
          <w:rFonts w:eastAsia="宋体"/>
          <w:highlight w:val="none"/>
        </w:rPr>
      </w:pPr>
      <w:r>
        <w:rPr>
          <w:rFonts w:eastAsia="宋体"/>
          <w:highlight w:val="none"/>
        </w:rPr>
        <w:t xml:space="preserve">                                                             </w:t>
      </w:r>
    </w:p>
    <w:p w14:paraId="096031EB">
      <w:pPr>
        <w:autoSpaceDE w:val="0"/>
        <w:autoSpaceDN w:val="0"/>
        <w:adjustRightInd w:val="0"/>
        <w:spacing w:line="480" w:lineRule="auto"/>
        <w:jc w:val="left"/>
        <w:rPr>
          <w:rFonts w:hint="eastAsia" w:ascii="黑体" w:hAnsi="黑体" w:eastAsia="黑体"/>
          <w:bCs/>
          <w:sz w:val="28"/>
          <w:szCs w:val="28"/>
          <w:highlight w:val="none"/>
        </w:rPr>
      </w:pPr>
      <w:r>
        <w:rPr>
          <w:rFonts w:ascii="黑体" w:hAnsi="黑体" w:eastAsia="黑体"/>
          <w:bCs/>
          <w:sz w:val="28"/>
          <w:szCs w:val="28"/>
          <w:highlight w:val="none"/>
        </w:rPr>
        <w:t xml:space="preserve">Calibration Specification </w:t>
      </w:r>
      <w:r>
        <w:rPr>
          <w:rFonts w:ascii="黑体" w:hAnsi="黑体" w:eastAsia="黑体" w:cs="..ì."/>
          <w:bCs/>
          <w:kern w:val="0"/>
          <w:sz w:val="28"/>
          <w:szCs w:val="28"/>
          <w:highlight w:val="none"/>
        </w:rPr>
        <w:t>for</w:t>
      </w:r>
    </w:p>
    <w:p w14:paraId="4A67AC75">
      <w:pPr>
        <w:autoSpaceDE w:val="0"/>
        <w:autoSpaceDN w:val="0"/>
        <w:adjustRightInd w:val="0"/>
        <w:spacing w:line="480" w:lineRule="auto"/>
        <w:jc w:val="left"/>
        <w:rPr>
          <w:rFonts w:hint="eastAsia" w:ascii="黑体" w:hAnsi="黑体" w:eastAsia="黑体"/>
          <w:bCs/>
          <w:sz w:val="28"/>
          <w:szCs w:val="28"/>
          <w:highlight w:val="none"/>
        </w:rPr>
      </w:pPr>
      <w:r>
        <w:rPr>
          <w:rFonts w:ascii="黑体" w:hAnsi="黑体" w:eastAsia="黑体"/>
          <w:bCs/>
          <w:sz w:val="28"/>
          <w:szCs w:val="28"/>
          <w:highlight w:val="none"/>
        </w:rPr>
        <w:t>Colour Rendering Index</w:t>
      </w:r>
    </w:p>
    <w:p w14:paraId="064FE52A">
      <w:pPr>
        <w:autoSpaceDE w:val="0"/>
        <w:autoSpaceDN w:val="0"/>
        <w:adjustRightInd w:val="0"/>
        <w:spacing w:line="480" w:lineRule="auto"/>
        <w:jc w:val="left"/>
        <w:rPr>
          <w:rFonts w:ascii="..ì." w:eastAsia="..ì." w:cs="..ì."/>
          <w:kern w:val="0"/>
          <w:sz w:val="30"/>
          <w:szCs w:val="30"/>
          <w:highlight w:val="none"/>
        </w:rPr>
      </w:pPr>
      <w:r>
        <w:rPr>
          <w:rFonts w:ascii="..ì." w:eastAsia="..ì." w:cs="..ì."/>
          <w:kern w:val="0"/>
          <w:sz w:val="30"/>
          <w:szCs w:val="30"/>
          <w:highlight w:val="none"/>
        </w:rPr>
        <mc:AlternateContent>
          <mc:Choice Requires="wps">
            <w:drawing>
              <wp:anchor distT="0" distB="0" distL="114300" distR="114300" simplePos="0" relativeHeight="251662336" behindDoc="0" locked="0" layoutInCell="1" allowOverlap="1">
                <wp:simplePos x="0" y="0"/>
                <wp:positionH relativeFrom="column">
                  <wp:posOffset>-163195</wp:posOffset>
                </wp:positionH>
                <wp:positionV relativeFrom="paragraph">
                  <wp:posOffset>154940</wp:posOffset>
                </wp:positionV>
                <wp:extent cx="5707380" cy="0"/>
                <wp:effectExtent l="8255" t="15240" r="8890" b="13335"/>
                <wp:wrapNone/>
                <wp:docPr id="3" name="Line 5"/>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2700">
                          <a:solidFill>
                            <a:srgbClr val="000000"/>
                          </a:solidFill>
                          <a:round/>
                        </a:ln>
                      </wps:spPr>
                      <wps:bodyPr/>
                    </wps:wsp>
                  </a:graphicData>
                </a:graphic>
              </wp:anchor>
            </w:drawing>
          </mc:Choice>
          <mc:Fallback>
            <w:pict>
              <v:line id="Line 5" o:spid="_x0000_s1026" o:spt="20" style="position:absolute;left:0pt;margin-left:-12.85pt;margin-top:12.2pt;height:0pt;width:449.4pt;z-index:251662336;mso-width-relative:page;mso-height-relative:page;" filled="f" stroked="t" coordsize="21600,21600" o:gfxdata="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BgvPMjYAAAACQEAAA8AAAAAAAAAAQAgAAAAIgAAAGRycy9k&#10;b3ducmV2LnhtbFBLAQIUABQAAAAIAIdO4kCb1ODYyQEAAKADAAAOAAAAAAAAAAEAIAAAACcBAABk&#10;cnMvZTJvRG9jLnhtbFBLBQYAAAAABgAGAFkBAABiBQAAAAA=&#10;">
                <v:fill on="f" focussize="0,0"/>
                <v:stroke weight="1pt" color="#000000" joinstyle="round"/>
                <v:imagedata o:title=""/>
                <o:lock v:ext="edit" aspectratio="f"/>
              </v:line>
            </w:pict>
          </mc:Fallback>
        </mc:AlternateContent>
      </w:r>
    </w:p>
    <w:p w14:paraId="42173BDF">
      <w:pPr>
        <w:spacing w:line="360" w:lineRule="auto"/>
        <w:ind w:firstLine="600"/>
        <w:rPr>
          <w:rFonts w:eastAsia="宋体"/>
          <w:sz w:val="30"/>
          <w:szCs w:val="30"/>
          <w:highlight w:val="none"/>
        </w:rPr>
      </w:pPr>
    </w:p>
    <w:p w14:paraId="1060BC05">
      <w:pPr>
        <w:autoSpaceDE w:val="0"/>
        <w:autoSpaceDN w:val="0"/>
        <w:adjustRightInd w:val="0"/>
        <w:ind w:firstLine="560"/>
        <w:jc w:val="left"/>
        <w:rPr>
          <w:rFonts w:hint="eastAsia" w:ascii="宋体" w:hAnsi="宋体" w:eastAsia="宋体" w:cs="..ì."/>
          <w:snapToGrid w:val="0"/>
          <w:kern w:val="0"/>
          <w:sz w:val="28"/>
          <w:szCs w:val="28"/>
          <w:highlight w:val="none"/>
        </w:rPr>
      </w:pPr>
    </w:p>
    <w:p w14:paraId="6A19D5C5">
      <w:pPr>
        <w:autoSpaceDE w:val="0"/>
        <w:autoSpaceDN w:val="0"/>
        <w:adjustRightInd w:val="0"/>
        <w:ind w:firstLine="560"/>
        <w:jc w:val="left"/>
        <w:rPr>
          <w:rFonts w:hint="eastAsia" w:ascii="宋体" w:hAnsi="宋体" w:eastAsia="宋体" w:cs="..ì."/>
          <w:snapToGrid w:val="0"/>
          <w:kern w:val="0"/>
          <w:sz w:val="28"/>
          <w:szCs w:val="28"/>
          <w:highlight w:val="none"/>
        </w:rPr>
      </w:pPr>
    </w:p>
    <w:p w14:paraId="7C2ACB1E">
      <w:pPr>
        <w:autoSpaceDE w:val="0"/>
        <w:autoSpaceDN w:val="0"/>
        <w:adjustRightInd w:val="0"/>
        <w:ind w:firstLine="560"/>
        <w:jc w:val="left"/>
        <w:rPr>
          <w:rFonts w:hint="eastAsia" w:ascii="宋体" w:hAnsi="宋体" w:eastAsia="宋体" w:cs="..ì."/>
          <w:snapToGrid w:val="0"/>
          <w:kern w:val="0"/>
          <w:sz w:val="28"/>
          <w:szCs w:val="28"/>
          <w:highlight w:val="none"/>
        </w:rPr>
      </w:pPr>
    </w:p>
    <w:p w14:paraId="10BF34F6">
      <w:pPr>
        <w:autoSpaceDE w:val="0"/>
        <w:autoSpaceDN w:val="0"/>
        <w:adjustRightInd w:val="0"/>
        <w:jc w:val="left"/>
        <w:rPr>
          <w:rFonts w:hint="eastAsia" w:ascii="宋体" w:hAnsi="宋体" w:eastAsia="宋体" w:cs="..ì."/>
          <w:snapToGrid w:val="0"/>
          <w:kern w:val="0"/>
          <w:sz w:val="28"/>
          <w:szCs w:val="28"/>
          <w:highlight w:val="none"/>
        </w:rPr>
      </w:pPr>
    </w:p>
    <w:p w14:paraId="125F8CF9">
      <w:pPr>
        <w:autoSpaceDE w:val="0"/>
        <w:autoSpaceDN w:val="0"/>
        <w:adjustRightInd w:val="0"/>
        <w:jc w:val="left"/>
        <w:rPr>
          <w:rFonts w:hint="eastAsia" w:ascii="宋体" w:hAnsi="宋体" w:eastAsia="宋体" w:cs="..ì."/>
          <w:snapToGrid w:val="0"/>
          <w:kern w:val="0"/>
          <w:sz w:val="28"/>
          <w:szCs w:val="28"/>
          <w:highlight w:val="none"/>
        </w:rPr>
      </w:pPr>
    </w:p>
    <w:p w14:paraId="76AFEA7F">
      <w:pPr>
        <w:autoSpaceDE w:val="0"/>
        <w:autoSpaceDN w:val="0"/>
        <w:adjustRightInd w:val="0"/>
        <w:ind w:firstLine="560"/>
        <w:jc w:val="left"/>
        <w:rPr>
          <w:rFonts w:hint="eastAsia" w:ascii="宋体" w:hAnsi="宋体" w:eastAsia="宋体" w:cs="..ì."/>
          <w:snapToGrid w:val="0"/>
          <w:kern w:val="0"/>
          <w:sz w:val="28"/>
          <w:szCs w:val="28"/>
          <w:highlight w:val="none"/>
        </w:rPr>
      </w:pPr>
    </w:p>
    <w:p w14:paraId="55C3F343">
      <w:pPr>
        <w:autoSpaceDE w:val="0"/>
        <w:autoSpaceDN w:val="0"/>
        <w:adjustRightInd w:val="0"/>
        <w:ind w:firstLine="560"/>
        <w:jc w:val="left"/>
        <w:rPr>
          <w:rFonts w:hint="eastAsia" w:ascii="宋体" w:hAnsi="宋体" w:eastAsia="宋体" w:cs="..ì."/>
          <w:snapToGrid w:val="0"/>
          <w:kern w:val="0"/>
          <w:sz w:val="28"/>
          <w:szCs w:val="28"/>
          <w:highlight w:val="none"/>
        </w:rPr>
      </w:pPr>
    </w:p>
    <w:p w14:paraId="5AD27D9F">
      <w:pPr>
        <w:autoSpaceDE w:val="0"/>
        <w:autoSpaceDN w:val="0"/>
        <w:adjustRightInd w:val="0"/>
        <w:spacing w:line="360" w:lineRule="auto"/>
        <w:ind w:firstLine="1260" w:firstLineChars="450"/>
        <w:rPr>
          <w:rFonts w:ascii="宋体" w:eastAsia="宋体" w:cs="宋体"/>
          <w:kern w:val="0"/>
          <w:sz w:val="28"/>
          <w:szCs w:val="28"/>
          <w:highlight w:val="none"/>
        </w:rPr>
      </w:pPr>
      <w:r>
        <w:rPr>
          <w:rFonts w:hint="eastAsia" w:ascii="黑体" w:eastAsia="黑体" w:cs="黑体"/>
          <w:kern w:val="0"/>
          <w:sz w:val="28"/>
          <w:szCs w:val="28"/>
          <w:highlight w:val="none"/>
        </w:rPr>
        <w:t>归  口 单 位</w:t>
      </w:r>
      <w:r>
        <w:rPr>
          <w:rFonts w:ascii="黑体" w:eastAsia="黑体" w:cs="黑体"/>
          <w:kern w:val="0"/>
          <w:sz w:val="28"/>
          <w:szCs w:val="28"/>
          <w:highlight w:val="none"/>
        </w:rPr>
        <w:t xml:space="preserve"> </w:t>
      </w:r>
      <w:r>
        <w:rPr>
          <w:rFonts w:hint="eastAsia" w:ascii="宋体" w:eastAsia="宋体" w:cs="宋体"/>
          <w:kern w:val="0"/>
          <w:sz w:val="28"/>
          <w:szCs w:val="28"/>
          <w:highlight w:val="none"/>
        </w:rPr>
        <w:t>：</w:t>
      </w:r>
      <w:r>
        <w:rPr>
          <w:rFonts w:ascii="宋体" w:eastAsia="宋体" w:cs="宋体"/>
          <w:kern w:val="0"/>
          <w:sz w:val="28"/>
          <w:szCs w:val="28"/>
          <w:highlight w:val="none"/>
        </w:rPr>
        <w:t xml:space="preserve"> </w:t>
      </w:r>
      <w:r>
        <w:rPr>
          <w:rFonts w:hint="eastAsia" w:ascii="宋体" w:eastAsia="宋体" w:cs="宋体"/>
          <w:kern w:val="0"/>
          <w:sz w:val="28"/>
          <w:szCs w:val="28"/>
          <w:highlight w:val="none"/>
        </w:rPr>
        <w:tab/>
      </w:r>
      <w:r>
        <w:rPr>
          <w:rFonts w:hint="eastAsia" w:ascii="宋体" w:eastAsia="宋体" w:cs="宋体"/>
          <w:kern w:val="0"/>
          <w:sz w:val="28"/>
          <w:szCs w:val="28"/>
          <w:highlight w:val="none"/>
        </w:rPr>
        <w:t>全国光学计量技术委员会</w:t>
      </w:r>
    </w:p>
    <w:p w14:paraId="582A346C">
      <w:pPr>
        <w:autoSpaceDE w:val="0"/>
        <w:autoSpaceDN w:val="0"/>
        <w:adjustRightInd w:val="0"/>
        <w:spacing w:line="360" w:lineRule="auto"/>
        <w:ind w:firstLine="1260" w:firstLineChars="450"/>
        <w:rPr>
          <w:rFonts w:ascii="宋体" w:eastAsia="宋体" w:cs="宋体"/>
          <w:kern w:val="0"/>
          <w:sz w:val="28"/>
          <w:szCs w:val="28"/>
          <w:highlight w:val="none"/>
        </w:rPr>
      </w:pPr>
      <w:r>
        <w:rPr>
          <w:rFonts w:hint="eastAsia" w:ascii="黑体" w:eastAsia="黑体" w:cs="黑体"/>
          <w:kern w:val="0"/>
          <w:sz w:val="28"/>
          <w:szCs w:val="28"/>
          <w:highlight w:val="none"/>
        </w:rPr>
        <w:t>主要起草单位</w:t>
      </w:r>
      <w:r>
        <w:rPr>
          <w:rFonts w:ascii="黑体" w:eastAsia="黑体" w:cs="黑体"/>
          <w:kern w:val="0"/>
          <w:sz w:val="28"/>
          <w:szCs w:val="28"/>
          <w:highlight w:val="none"/>
        </w:rPr>
        <w:t xml:space="preserve"> </w:t>
      </w:r>
      <w:r>
        <w:rPr>
          <w:rFonts w:hint="eastAsia" w:ascii="宋体" w:eastAsia="宋体" w:cs="宋体"/>
          <w:kern w:val="0"/>
          <w:sz w:val="28"/>
          <w:szCs w:val="28"/>
          <w:highlight w:val="none"/>
        </w:rPr>
        <w:t>：</w:t>
      </w:r>
      <w:r>
        <w:rPr>
          <w:rFonts w:ascii="宋体" w:eastAsia="宋体" w:cs="宋体"/>
          <w:kern w:val="0"/>
          <w:sz w:val="28"/>
          <w:szCs w:val="28"/>
          <w:highlight w:val="none"/>
        </w:rPr>
        <w:t xml:space="preserve"> </w:t>
      </w:r>
      <w:r>
        <w:rPr>
          <w:rFonts w:hint="eastAsia" w:ascii="宋体" w:eastAsia="宋体" w:cs="宋体"/>
          <w:kern w:val="0"/>
          <w:sz w:val="28"/>
          <w:szCs w:val="28"/>
          <w:highlight w:val="none"/>
        </w:rPr>
        <w:tab/>
      </w:r>
      <w:r>
        <w:rPr>
          <w:rFonts w:hint="eastAsia" w:ascii="宋体" w:eastAsia="宋体" w:cs="宋体"/>
          <w:kern w:val="0"/>
          <w:sz w:val="28"/>
          <w:szCs w:val="28"/>
          <w:highlight w:val="none"/>
        </w:rPr>
        <w:t>中国计量科学研究院</w:t>
      </w:r>
    </w:p>
    <w:p w14:paraId="6629F025">
      <w:pPr>
        <w:autoSpaceDE w:val="0"/>
        <w:autoSpaceDN w:val="0"/>
        <w:adjustRightInd w:val="0"/>
        <w:spacing w:line="360" w:lineRule="auto"/>
        <w:ind w:firstLine="1260" w:firstLineChars="450"/>
        <w:rPr>
          <w:rFonts w:ascii="宋体" w:eastAsia="宋体" w:cs="宋体"/>
          <w:kern w:val="0"/>
          <w:sz w:val="28"/>
          <w:szCs w:val="28"/>
          <w:highlight w:val="none"/>
        </w:rPr>
      </w:pPr>
      <w:r>
        <w:rPr>
          <w:rFonts w:ascii="宋体" w:eastAsia="宋体" w:cs="宋体"/>
          <w:kern w:val="0"/>
          <w:sz w:val="28"/>
          <w:szCs w:val="28"/>
          <w:highlight w:val="none"/>
        </w:rPr>
        <w:tab/>
      </w:r>
      <w:r>
        <w:rPr>
          <w:rFonts w:ascii="宋体" w:eastAsia="宋体" w:cs="宋体"/>
          <w:kern w:val="0"/>
          <w:sz w:val="28"/>
          <w:szCs w:val="28"/>
          <w:highlight w:val="none"/>
        </w:rPr>
        <w:tab/>
      </w:r>
      <w:r>
        <w:rPr>
          <w:rFonts w:ascii="宋体" w:eastAsia="宋体" w:cs="宋体"/>
          <w:kern w:val="0"/>
          <w:sz w:val="28"/>
          <w:szCs w:val="28"/>
          <w:highlight w:val="none"/>
        </w:rPr>
        <w:tab/>
      </w:r>
      <w:r>
        <w:rPr>
          <w:rFonts w:ascii="宋体" w:eastAsia="宋体" w:cs="宋体"/>
          <w:kern w:val="0"/>
          <w:sz w:val="28"/>
          <w:szCs w:val="28"/>
          <w:highlight w:val="none"/>
        </w:rPr>
        <w:tab/>
      </w:r>
      <w:r>
        <w:rPr>
          <w:rFonts w:ascii="宋体" w:eastAsia="宋体" w:cs="宋体"/>
          <w:kern w:val="0"/>
          <w:sz w:val="28"/>
          <w:szCs w:val="28"/>
          <w:highlight w:val="none"/>
        </w:rPr>
        <w:tab/>
      </w:r>
      <w:r>
        <w:rPr>
          <w:rFonts w:ascii="宋体" w:eastAsia="宋体" w:cs="宋体"/>
          <w:kern w:val="0"/>
          <w:sz w:val="28"/>
          <w:szCs w:val="28"/>
          <w:highlight w:val="none"/>
        </w:rPr>
        <w:tab/>
      </w:r>
      <w:r>
        <w:rPr>
          <w:rFonts w:hint="eastAsia" w:ascii="宋体" w:eastAsia="宋体" w:cs="宋体"/>
          <w:kern w:val="0"/>
          <w:sz w:val="28"/>
          <w:szCs w:val="28"/>
          <w:highlight w:val="none"/>
        </w:rPr>
        <w:t>中国测试技术研究院</w:t>
      </w:r>
    </w:p>
    <w:p w14:paraId="71EE9E45">
      <w:pPr>
        <w:autoSpaceDE w:val="0"/>
        <w:autoSpaceDN w:val="0"/>
        <w:adjustRightInd w:val="0"/>
        <w:spacing w:line="360" w:lineRule="auto"/>
        <w:ind w:firstLine="1260" w:firstLineChars="450"/>
        <w:rPr>
          <w:rFonts w:ascii="宋体" w:eastAsia="宋体" w:cs="宋体"/>
          <w:kern w:val="0"/>
          <w:sz w:val="28"/>
          <w:szCs w:val="28"/>
          <w:highlight w:val="none"/>
        </w:rPr>
      </w:pPr>
      <w:r>
        <w:rPr>
          <w:rFonts w:hint="eastAsia" w:ascii="黑体" w:eastAsia="黑体" w:cs="黑体"/>
          <w:kern w:val="0"/>
          <w:sz w:val="28"/>
          <w:szCs w:val="28"/>
          <w:highlight w:val="none"/>
        </w:rPr>
        <w:t>参加起草单位</w:t>
      </w:r>
      <w:r>
        <w:rPr>
          <w:rFonts w:ascii="黑体" w:eastAsia="黑体" w:cs="黑体"/>
          <w:kern w:val="0"/>
          <w:sz w:val="28"/>
          <w:szCs w:val="28"/>
          <w:highlight w:val="none"/>
        </w:rPr>
        <w:t xml:space="preserve"> </w:t>
      </w:r>
      <w:r>
        <w:rPr>
          <w:rFonts w:hint="eastAsia" w:ascii="宋体" w:eastAsia="宋体" w:cs="宋体"/>
          <w:kern w:val="0"/>
          <w:sz w:val="28"/>
          <w:szCs w:val="28"/>
          <w:highlight w:val="none"/>
        </w:rPr>
        <w:t xml:space="preserve">： </w:t>
      </w:r>
      <w:r>
        <w:rPr>
          <w:rFonts w:hint="eastAsia" w:ascii="宋体" w:eastAsia="宋体" w:cs="宋体"/>
          <w:kern w:val="0"/>
          <w:sz w:val="28"/>
          <w:szCs w:val="28"/>
          <w:highlight w:val="none"/>
        </w:rPr>
        <w:tab/>
      </w:r>
      <w:r>
        <w:rPr>
          <w:rFonts w:hint="eastAsia" w:ascii="宋体" w:eastAsia="宋体" w:cs="宋体"/>
          <w:kern w:val="0"/>
          <w:sz w:val="28"/>
          <w:szCs w:val="28"/>
          <w:highlight w:val="none"/>
        </w:rPr>
        <w:t>山东省计量科学研究院</w:t>
      </w:r>
    </w:p>
    <w:p w14:paraId="6A3AAD4F">
      <w:pPr>
        <w:autoSpaceDE w:val="0"/>
        <w:autoSpaceDN w:val="0"/>
        <w:adjustRightInd w:val="0"/>
        <w:spacing w:line="360" w:lineRule="auto"/>
        <w:ind w:left="3828" w:right="-290" w:rightChars="-121"/>
        <w:rPr>
          <w:rFonts w:ascii="宋体" w:eastAsia="宋体" w:cs="宋体"/>
          <w:kern w:val="0"/>
          <w:sz w:val="28"/>
          <w:szCs w:val="28"/>
          <w:highlight w:val="none"/>
        </w:rPr>
      </w:pPr>
      <w:r>
        <w:rPr>
          <w:rFonts w:hint="eastAsia" w:ascii="宋体" w:eastAsia="宋体" w:cs="宋体"/>
          <w:kern w:val="0"/>
          <w:sz w:val="28"/>
          <w:szCs w:val="28"/>
          <w:highlight w:val="none"/>
        </w:rPr>
        <w:t>深圳中国计量科学研究院技术创新研究院</w:t>
      </w:r>
    </w:p>
    <w:p w14:paraId="3B00CE13">
      <w:pPr>
        <w:autoSpaceDE w:val="0"/>
        <w:autoSpaceDN w:val="0"/>
        <w:adjustRightInd w:val="0"/>
        <w:spacing w:line="360" w:lineRule="auto"/>
        <w:ind w:firstLine="1260" w:firstLineChars="450"/>
        <w:rPr>
          <w:rFonts w:ascii="宋体" w:eastAsia="宋体" w:cs="宋体"/>
          <w:kern w:val="0"/>
          <w:sz w:val="28"/>
          <w:szCs w:val="28"/>
          <w:highlight w:val="none"/>
        </w:rPr>
      </w:pPr>
    </w:p>
    <w:p w14:paraId="28EE9362">
      <w:pPr>
        <w:autoSpaceDE w:val="0"/>
        <w:autoSpaceDN w:val="0"/>
        <w:adjustRightInd w:val="0"/>
        <w:spacing w:line="360" w:lineRule="auto"/>
        <w:ind w:firstLine="1260" w:firstLineChars="450"/>
        <w:rPr>
          <w:rFonts w:ascii="宋体" w:eastAsia="宋体" w:cs="宋体"/>
          <w:kern w:val="0"/>
          <w:sz w:val="28"/>
          <w:szCs w:val="28"/>
          <w:highlight w:val="none"/>
        </w:rPr>
      </w:pPr>
    </w:p>
    <w:p w14:paraId="6398E054">
      <w:pPr>
        <w:autoSpaceDE w:val="0"/>
        <w:autoSpaceDN w:val="0"/>
        <w:adjustRightInd w:val="0"/>
        <w:spacing w:line="360" w:lineRule="auto"/>
        <w:ind w:firstLine="1260" w:firstLineChars="450"/>
        <w:rPr>
          <w:rFonts w:ascii="宋体" w:eastAsia="宋体" w:cs="宋体"/>
          <w:kern w:val="0"/>
          <w:sz w:val="28"/>
          <w:szCs w:val="28"/>
          <w:highlight w:val="none"/>
        </w:rPr>
      </w:pPr>
    </w:p>
    <w:p w14:paraId="7AE2EC86">
      <w:pPr>
        <w:autoSpaceDE w:val="0"/>
        <w:autoSpaceDN w:val="0"/>
        <w:adjustRightInd w:val="0"/>
        <w:spacing w:line="360" w:lineRule="auto"/>
        <w:ind w:firstLine="1260" w:firstLineChars="450"/>
        <w:rPr>
          <w:rFonts w:ascii="宋体" w:eastAsia="宋体" w:cs="宋体"/>
          <w:kern w:val="0"/>
          <w:sz w:val="28"/>
          <w:szCs w:val="28"/>
          <w:highlight w:val="none"/>
        </w:rPr>
      </w:pPr>
    </w:p>
    <w:p w14:paraId="4BACFC53">
      <w:pPr>
        <w:autoSpaceDE w:val="0"/>
        <w:autoSpaceDN w:val="0"/>
        <w:adjustRightInd w:val="0"/>
        <w:jc w:val="center"/>
        <w:rPr>
          <w:rFonts w:hint="eastAsia" w:ascii="宋体" w:hAnsi="宋体" w:eastAsia="宋体" w:cs="..ì."/>
          <w:kern w:val="0"/>
          <w:sz w:val="28"/>
          <w:szCs w:val="28"/>
          <w:highlight w:val="none"/>
        </w:rPr>
        <w:sectPr>
          <w:headerReference r:id="rId8" w:type="first"/>
          <w:footerReference r:id="rId11" w:type="first"/>
          <w:headerReference r:id="rId6" w:type="default"/>
          <w:footerReference r:id="rId9" w:type="default"/>
          <w:headerReference r:id="rId7" w:type="even"/>
          <w:footerReference r:id="rId10" w:type="even"/>
          <w:pgSz w:w="12240" w:h="15840"/>
          <w:pgMar w:top="1440" w:right="1800" w:bottom="1440" w:left="1800" w:header="720" w:footer="720" w:gutter="0"/>
          <w:pgNumType w:start="1"/>
          <w:cols w:space="720" w:num="1"/>
          <w:titlePg/>
          <w:docGrid w:linePitch="326" w:charSpace="0"/>
        </w:sectPr>
      </w:pPr>
      <w:r>
        <w:rPr>
          <w:rFonts w:hint="eastAsia" w:ascii="宋体" w:hAnsi="宋体" w:eastAsia="宋体" w:cs="..ì."/>
          <w:kern w:val="0"/>
          <w:sz w:val="28"/>
          <w:szCs w:val="28"/>
          <w:highlight w:val="none"/>
        </w:rPr>
        <w:t>本规范委托全国光学计量技术委员会负责解释</w:t>
      </w:r>
    </w:p>
    <w:p w14:paraId="780DDA5C">
      <w:pPr>
        <w:autoSpaceDE w:val="0"/>
        <w:autoSpaceDN w:val="0"/>
        <w:adjustRightInd w:val="0"/>
        <w:ind w:firstLine="560"/>
        <w:jc w:val="left"/>
        <w:rPr>
          <w:rFonts w:ascii="黑体" w:eastAsia="黑体" w:cs="黑体"/>
          <w:kern w:val="0"/>
          <w:sz w:val="28"/>
          <w:szCs w:val="28"/>
          <w:highlight w:val="none"/>
        </w:rPr>
      </w:pPr>
    </w:p>
    <w:p w14:paraId="467EF16F">
      <w:pPr>
        <w:autoSpaceDE w:val="0"/>
        <w:autoSpaceDN w:val="0"/>
        <w:adjustRightInd w:val="0"/>
        <w:ind w:firstLine="560"/>
        <w:jc w:val="left"/>
        <w:rPr>
          <w:rFonts w:ascii="黑体" w:eastAsia="黑体" w:cs="黑体"/>
          <w:kern w:val="0"/>
          <w:sz w:val="28"/>
          <w:szCs w:val="28"/>
          <w:highlight w:val="none"/>
        </w:rPr>
      </w:pPr>
      <w:r>
        <w:rPr>
          <w:rFonts w:hint="eastAsia" w:ascii="黑体" w:eastAsia="黑体" w:cs="黑体"/>
          <w:kern w:val="0"/>
          <w:sz w:val="28"/>
          <w:szCs w:val="28"/>
          <w:highlight w:val="none"/>
        </w:rPr>
        <w:t>本规范主要起草人：</w:t>
      </w:r>
      <w:r>
        <w:rPr>
          <w:rFonts w:ascii="黑体" w:eastAsia="黑体" w:cs="黑体"/>
          <w:kern w:val="0"/>
          <w:sz w:val="28"/>
          <w:szCs w:val="28"/>
          <w:highlight w:val="none"/>
        </w:rPr>
        <w:t xml:space="preserve"> </w:t>
      </w:r>
    </w:p>
    <w:p w14:paraId="08385DB1">
      <w:pPr>
        <w:autoSpaceDE w:val="0"/>
        <w:autoSpaceDN w:val="0"/>
        <w:adjustRightInd w:val="0"/>
        <w:spacing w:line="360" w:lineRule="auto"/>
        <w:ind w:left="1416" w:leftChars="590" w:firstLine="560"/>
        <w:rPr>
          <w:rFonts w:ascii="宋体" w:eastAsia="宋体" w:cs="宋体"/>
          <w:kern w:val="0"/>
          <w:sz w:val="28"/>
          <w:szCs w:val="28"/>
          <w:highlight w:val="none"/>
        </w:rPr>
      </w:pPr>
      <w:r>
        <w:rPr>
          <w:rFonts w:hint="eastAsia" w:ascii="宋体" w:eastAsia="宋体" w:cs="宋体"/>
          <w:kern w:val="0"/>
          <w:sz w:val="28"/>
          <w:szCs w:val="28"/>
          <w:highlight w:val="none"/>
        </w:rPr>
        <w:t>闫劲云（中国计量科学研究院）</w:t>
      </w:r>
    </w:p>
    <w:p w14:paraId="756F1308">
      <w:pPr>
        <w:autoSpaceDE w:val="0"/>
        <w:autoSpaceDN w:val="0"/>
        <w:adjustRightInd w:val="0"/>
        <w:spacing w:line="360" w:lineRule="auto"/>
        <w:ind w:left="1416" w:leftChars="590" w:firstLine="560"/>
        <w:rPr>
          <w:rFonts w:ascii="宋体" w:eastAsia="宋体" w:cs="宋体"/>
          <w:kern w:val="0"/>
          <w:sz w:val="28"/>
          <w:szCs w:val="28"/>
          <w:highlight w:val="none"/>
        </w:rPr>
      </w:pPr>
      <w:r>
        <w:rPr>
          <w:rFonts w:hint="eastAsia" w:ascii="宋体" w:eastAsia="宋体" w:cs="宋体"/>
          <w:kern w:val="0"/>
          <w:sz w:val="28"/>
          <w:szCs w:val="28"/>
          <w:highlight w:val="none"/>
        </w:rPr>
        <w:t>曾丽梅（中国测试技术研究院）</w:t>
      </w:r>
    </w:p>
    <w:p w14:paraId="413A21E7">
      <w:pPr>
        <w:autoSpaceDE w:val="0"/>
        <w:autoSpaceDN w:val="0"/>
        <w:adjustRightInd w:val="0"/>
        <w:ind w:left="708" w:leftChars="295" w:firstLine="560"/>
        <w:jc w:val="left"/>
        <w:rPr>
          <w:rFonts w:ascii="黑体" w:eastAsia="黑体" w:cs="黑体"/>
          <w:kern w:val="0"/>
          <w:sz w:val="28"/>
          <w:szCs w:val="28"/>
          <w:highlight w:val="none"/>
        </w:rPr>
      </w:pPr>
      <w:r>
        <w:rPr>
          <w:rFonts w:hint="eastAsia" w:ascii="黑体" w:eastAsia="黑体" w:cs="黑体"/>
          <w:kern w:val="0"/>
          <w:sz w:val="28"/>
          <w:szCs w:val="28"/>
          <w:highlight w:val="none"/>
        </w:rPr>
        <w:t>参加起草人：</w:t>
      </w:r>
      <w:r>
        <w:rPr>
          <w:rFonts w:ascii="黑体" w:eastAsia="黑体" w:cs="黑体"/>
          <w:kern w:val="0"/>
          <w:sz w:val="28"/>
          <w:szCs w:val="28"/>
          <w:highlight w:val="none"/>
        </w:rPr>
        <w:t xml:space="preserve"> </w:t>
      </w:r>
    </w:p>
    <w:p w14:paraId="6E336877">
      <w:pPr>
        <w:autoSpaceDE w:val="0"/>
        <w:autoSpaceDN w:val="0"/>
        <w:adjustRightInd w:val="0"/>
        <w:spacing w:line="360" w:lineRule="auto"/>
        <w:ind w:left="1416" w:leftChars="590" w:firstLine="560"/>
        <w:rPr>
          <w:rFonts w:ascii="宋体" w:eastAsia="宋体" w:cs="宋体"/>
          <w:kern w:val="0"/>
          <w:sz w:val="28"/>
          <w:szCs w:val="28"/>
          <w:highlight w:val="none"/>
        </w:rPr>
      </w:pPr>
      <w:r>
        <w:rPr>
          <w:rFonts w:hint="eastAsia" w:ascii="宋体" w:eastAsia="宋体" w:cs="宋体"/>
          <w:kern w:val="0"/>
          <w:sz w:val="28"/>
          <w:szCs w:val="28"/>
          <w:highlight w:val="none"/>
        </w:rPr>
        <w:t>赵伟强（中国计量科学研究院）</w:t>
      </w:r>
    </w:p>
    <w:p w14:paraId="453B9D5C">
      <w:pPr>
        <w:autoSpaceDE w:val="0"/>
        <w:autoSpaceDN w:val="0"/>
        <w:adjustRightInd w:val="0"/>
        <w:spacing w:line="360" w:lineRule="auto"/>
        <w:ind w:left="1416" w:leftChars="590" w:firstLine="560"/>
        <w:rPr>
          <w:rFonts w:ascii="宋体" w:eastAsia="宋体" w:cs="宋体"/>
          <w:kern w:val="0"/>
          <w:sz w:val="28"/>
          <w:szCs w:val="28"/>
          <w:highlight w:val="none"/>
        </w:rPr>
      </w:pPr>
      <w:r>
        <w:rPr>
          <w:rFonts w:hint="eastAsia" w:ascii="宋体" w:eastAsia="宋体" w:cs="宋体"/>
          <w:kern w:val="0"/>
          <w:sz w:val="28"/>
          <w:szCs w:val="28"/>
          <w:highlight w:val="none"/>
        </w:rPr>
        <w:t>苏昌林（中国测试技术研究院）</w:t>
      </w:r>
    </w:p>
    <w:p w14:paraId="1B109D47">
      <w:pPr>
        <w:autoSpaceDE w:val="0"/>
        <w:autoSpaceDN w:val="0"/>
        <w:adjustRightInd w:val="0"/>
        <w:spacing w:line="360" w:lineRule="auto"/>
        <w:ind w:left="1416" w:leftChars="590" w:firstLine="560"/>
        <w:rPr>
          <w:rFonts w:ascii="宋体" w:eastAsia="宋体" w:cs="宋体"/>
          <w:kern w:val="0"/>
          <w:sz w:val="28"/>
          <w:szCs w:val="28"/>
          <w:highlight w:val="none"/>
        </w:rPr>
      </w:pPr>
      <w:r>
        <w:rPr>
          <w:rFonts w:hint="eastAsia" w:ascii="宋体" w:eastAsia="宋体" w:cs="宋体"/>
          <w:kern w:val="0"/>
          <w:sz w:val="28"/>
          <w:szCs w:val="28"/>
          <w:highlight w:val="none"/>
        </w:rPr>
        <w:t xml:space="preserve">程 </w:t>
      </w:r>
      <w:r>
        <w:rPr>
          <w:rFonts w:ascii="宋体" w:eastAsia="宋体" w:cs="宋体"/>
          <w:kern w:val="0"/>
          <w:sz w:val="28"/>
          <w:szCs w:val="28"/>
          <w:highlight w:val="none"/>
        </w:rPr>
        <w:t xml:space="preserve"> </w:t>
      </w:r>
      <w:r>
        <w:rPr>
          <w:rFonts w:hint="eastAsia" w:ascii="宋体" w:eastAsia="宋体" w:cs="宋体"/>
          <w:kern w:val="0"/>
          <w:sz w:val="28"/>
          <w:szCs w:val="28"/>
          <w:highlight w:val="none"/>
        </w:rPr>
        <w:t>康（山东省计量科学研究院）</w:t>
      </w:r>
    </w:p>
    <w:p w14:paraId="676E71E0">
      <w:pPr>
        <w:autoSpaceDE w:val="0"/>
        <w:autoSpaceDN w:val="0"/>
        <w:adjustRightInd w:val="0"/>
        <w:spacing w:line="360" w:lineRule="auto"/>
        <w:ind w:left="1416" w:leftChars="590" w:firstLine="560"/>
        <w:rPr>
          <w:rFonts w:ascii="宋体" w:eastAsia="宋体" w:cs="宋体"/>
          <w:kern w:val="0"/>
          <w:sz w:val="28"/>
          <w:szCs w:val="28"/>
          <w:highlight w:val="none"/>
        </w:rPr>
      </w:pPr>
      <w:r>
        <w:rPr>
          <w:rFonts w:hint="eastAsia" w:ascii="宋体" w:eastAsia="宋体" w:cs="宋体"/>
          <w:kern w:val="0"/>
          <w:sz w:val="28"/>
          <w:szCs w:val="28"/>
          <w:highlight w:val="none"/>
        </w:rPr>
        <w:t>徐英莹（深圳中国计量科学研究院技术创新研究院）</w:t>
      </w:r>
    </w:p>
    <w:p w14:paraId="13138A5A">
      <w:pPr>
        <w:autoSpaceDE w:val="0"/>
        <w:autoSpaceDN w:val="0"/>
        <w:adjustRightInd w:val="0"/>
        <w:spacing w:line="360" w:lineRule="auto"/>
        <w:ind w:left="1416" w:leftChars="590" w:firstLine="560"/>
        <w:rPr>
          <w:rFonts w:ascii="宋体" w:eastAsia="宋体" w:cs="宋体"/>
          <w:kern w:val="0"/>
          <w:sz w:val="28"/>
          <w:szCs w:val="28"/>
          <w:highlight w:val="none"/>
        </w:rPr>
      </w:pPr>
      <w:r>
        <w:rPr>
          <w:rFonts w:hint="eastAsia" w:ascii="宋体" w:eastAsia="宋体" w:cs="宋体"/>
          <w:kern w:val="0"/>
          <w:sz w:val="28"/>
          <w:szCs w:val="28"/>
          <w:highlight w:val="none"/>
        </w:rPr>
        <w:t xml:space="preserve">刘 </w:t>
      </w:r>
      <w:r>
        <w:rPr>
          <w:rFonts w:ascii="宋体" w:eastAsia="宋体" w:cs="宋体"/>
          <w:kern w:val="0"/>
          <w:sz w:val="28"/>
          <w:szCs w:val="28"/>
          <w:highlight w:val="none"/>
        </w:rPr>
        <w:t xml:space="preserve"> </w:t>
      </w:r>
      <w:r>
        <w:rPr>
          <w:rFonts w:hint="eastAsia" w:ascii="宋体" w:eastAsia="宋体" w:cs="宋体"/>
          <w:kern w:val="0"/>
          <w:sz w:val="28"/>
          <w:szCs w:val="28"/>
          <w:highlight w:val="none"/>
        </w:rPr>
        <w:t>慧（中国计量科学研究院）</w:t>
      </w:r>
    </w:p>
    <w:p w14:paraId="32FE76F2">
      <w:pPr>
        <w:autoSpaceDE w:val="0"/>
        <w:autoSpaceDN w:val="0"/>
        <w:adjustRightInd w:val="0"/>
        <w:spacing w:line="360" w:lineRule="auto"/>
        <w:ind w:left="1416" w:leftChars="590" w:firstLine="560"/>
        <w:rPr>
          <w:rFonts w:ascii="宋体" w:eastAsia="宋体" w:cs="宋体"/>
          <w:kern w:val="0"/>
          <w:sz w:val="28"/>
          <w:szCs w:val="28"/>
          <w:highlight w:val="none"/>
        </w:rPr>
      </w:pPr>
    </w:p>
    <w:p w14:paraId="6725E31A">
      <w:pPr>
        <w:ind w:firstLine="640"/>
        <w:jc w:val="center"/>
        <w:rPr>
          <w:rFonts w:ascii="黑体" w:eastAsia="黑体"/>
          <w:kern w:val="0"/>
          <w:sz w:val="32"/>
          <w:szCs w:val="32"/>
          <w:highlight w:val="none"/>
        </w:rPr>
      </w:pPr>
    </w:p>
    <w:p w14:paraId="33863756">
      <w:pPr>
        <w:widowControl/>
        <w:ind w:firstLine="480"/>
        <w:jc w:val="left"/>
        <w:rPr>
          <w:rFonts w:eastAsia="宋体"/>
          <w:highlight w:val="none"/>
        </w:rPr>
      </w:pPr>
      <w:r>
        <w:rPr>
          <w:rFonts w:eastAsia="宋体"/>
          <w:highlight w:val="none"/>
        </w:rPr>
        <w:br w:type="page"/>
      </w:r>
    </w:p>
    <w:p w14:paraId="53730406">
      <w:pPr>
        <w:jc w:val="center"/>
        <w:rPr>
          <w:rFonts w:ascii="仿宋_GB2312" w:eastAsia="仿宋_GB2312"/>
          <w:b/>
          <w:bCs/>
          <w:sz w:val="52"/>
          <w:szCs w:val="52"/>
          <w:highlight w:val="none"/>
          <w:lang w:val="nl-NL"/>
        </w:rPr>
        <w:sectPr>
          <w:headerReference r:id="rId13" w:type="first"/>
          <w:footerReference r:id="rId15" w:type="first"/>
          <w:headerReference r:id="rId12" w:type="default"/>
          <w:footerReference r:id="rId14" w:type="default"/>
          <w:pgSz w:w="11906" w:h="16838"/>
          <w:pgMar w:top="1440" w:right="1800" w:bottom="1440" w:left="1800" w:header="851" w:footer="992" w:gutter="0"/>
          <w:pgNumType w:fmt="upperRoman"/>
          <w:cols w:space="425" w:num="1"/>
          <w:docGrid w:type="lines" w:linePitch="326" w:charSpace="0"/>
        </w:sectPr>
      </w:pPr>
    </w:p>
    <w:p w14:paraId="6CE66795">
      <w:pPr>
        <w:widowControl/>
        <w:jc w:val="left"/>
        <w:rPr>
          <w:highlight w:val="none"/>
        </w:rPr>
      </w:pPr>
    </w:p>
    <w:p w14:paraId="5E20B55D">
      <w:pPr>
        <w:autoSpaceDE w:val="0"/>
        <w:autoSpaceDN w:val="0"/>
        <w:adjustRightInd w:val="0"/>
        <w:spacing w:line="360" w:lineRule="auto"/>
        <w:ind w:left="1416" w:leftChars="590"/>
        <w:rPr>
          <w:highlight w:val="none"/>
        </w:rPr>
      </w:pPr>
    </w:p>
    <w:p w14:paraId="27DAA2E7">
      <w:pPr>
        <w:pStyle w:val="6"/>
        <w:tabs>
          <w:tab w:val="right" w:leader="dot" w:pos="8636"/>
        </w:tabs>
        <w:jc w:val="center"/>
        <w:rPr>
          <w:highlight w:val="none"/>
        </w:rPr>
      </w:pPr>
      <w:r>
        <w:rPr>
          <w:rFonts w:hint="eastAsia" w:ascii="黑体" w:eastAsia="黑体"/>
          <w:sz w:val="44"/>
          <w:szCs w:val="44"/>
          <w:highlight w:val="none"/>
        </w:rPr>
        <w:t>目  录</w:t>
      </w:r>
    </w:p>
    <w:p w14:paraId="09A843E6">
      <w:pPr>
        <w:pStyle w:val="6"/>
        <w:tabs>
          <w:tab w:val="right" w:leader="dot" w:pos="8636"/>
        </w:tabs>
        <w:rPr>
          <w:rFonts w:hint="eastAsia" w:hAnsi="宋体"/>
          <w:color w:val="D9D9D9" w:themeColor="background1" w:themeShade="D9"/>
          <w:sz w:val="24"/>
          <w:szCs w:val="24"/>
          <w:highlight w:val="none"/>
        </w:rPr>
      </w:pPr>
    </w:p>
    <w:p w14:paraId="1EF40DD3">
      <w:pPr>
        <w:pStyle w:val="6"/>
        <w:tabs>
          <w:tab w:val="right" w:leader="dot" w:pos="8296"/>
        </w:tabs>
        <w:rPr>
          <w:rFonts w:asciiTheme="minorHAnsi" w:hAnsiTheme="minorHAnsi" w:eastAsiaTheme="minorEastAsia" w:cstheme="minorBidi"/>
          <w:kern w:val="2"/>
          <w:szCs w:val="22"/>
          <w:highlight w:val="none"/>
          <w14:ligatures w14:val="standardContextual"/>
        </w:rPr>
      </w:pPr>
      <w:r>
        <w:rPr>
          <w:rFonts w:asciiTheme="minorEastAsia" w:hAnsiTheme="minorEastAsia" w:eastAsiaTheme="minorEastAsia"/>
          <w:color w:val="D9D9D9" w:themeColor="background1" w:themeShade="D9"/>
          <w:sz w:val="24"/>
          <w:szCs w:val="24"/>
          <w:highlight w:val="none"/>
        </w:rPr>
        <w:fldChar w:fldCharType="begin"/>
      </w:r>
      <w:r>
        <w:rPr>
          <w:rFonts w:asciiTheme="minorEastAsia" w:hAnsiTheme="minorEastAsia" w:eastAsiaTheme="minorEastAsia"/>
          <w:color w:val="D9D9D9" w:themeColor="background1" w:themeShade="D9"/>
          <w:sz w:val="24"/>
          <w:szCs w:val="24"/>
          <w:highlight w:val="none"/>
        </w:rPr>
        <w:instrText xml:space="preserve"> TOC \o "1-3" \h \z \u </w:instrText>
      </w:r>
      <w:r>
        <w:rPr>
          <w:rFonts w:asciiTheme="minorEastAsia" w:hAnsiTheme="minorEastAsia" w:eastAsiaTheme="minorEastAsia"/>
          <w:color w:val="D9D9D9" w:themeColor="background1" w:themeShade="D9"/>
          <w:sz w:val="24"/>
          <w:szCs w:val="24"/>
          <w:highlight w:val="none"/>
        </w:rPr>
        <w:fldChar w:fldCharType="separate"/>
      </w:r>
      <w:r>
        <w:rPr>
          <w:highlight w:val="none"/>
        </w:rPr>
        <w:fldChar w:fldCharType="begin"/>
      </w:r>
      <w:r>
        <w:rPr>
          <w:highlight w:val="none"/>
        </w:rPr>
        <w:instrText xml:space="preserve"> HYPERLINK \l "_Toc156381352" </w:instrText>
      </w:r>
      <w:r>
        <w:rPr>
          <w:highlight w:val="none"/>
        </w:rPr>
        <w:fldChar w:fldCharType="separate"/>
      </w:r>
      <w:r>
        <w:rPr>
          <w:rStyle w:val="12"/>
          <w:rFonts w:hAnsi="宋体"/>
          <w:highlight w:val="none"/>
        </w:rPr>
        <w:t>引</w:t>
      </w:r>
      <w:r>
        <w:rPr>
          <w:rStyle w:val="12"/>
          <w:highlight w:val="none"/>
        </w:rPr>
        <w:t xml:space="preserve"> 言</w:t>
      </w:r>
      <w:r>
        <w:rPr>
          <w:highlight w:val="none"/>
        </w:rPr>
        <w:tab/>
      </w:r>
      <w:r>
        <w:rPr>
          <w:highlight w:val="none"/>
        </w:rPr>
        <w:fldChar w:fldCharType="begin"/>
      </w:r>
      <w:r>
        <w:rPr>
          <w:highlight w:val="none"/>
        </w:rPr>
        <w:instrText xml:space="preserve"> PAGEREF _Toc156381352 \h </w:instrText>
      </w:r>
      <w:r>
        <w:rPr>
          <w:highlight w:val="none"/>
        </w:rPr>
        <w:fldChar w:fldCharType="separate"/>
      </w:r>
      <w:r>
        <w:rPr>
          <w:highlight w:val="none"/>
        </w:rPr>
        <w:t>4</w:t>
      </w:r>
      <w:r>
        <w:rPr>
          <w:highlight w:val="none"/>
        </w:rPr>
        <w:fldChar w:fldCharType="end"/>
      </w:r>
      <w:r>
        <w:rPr>
          <w:highlight w:val="none"/>
        </w:rPr>
        <w:fldChar w:fldCharType="end"/>
      </w:r>
    </w:p>
    <w:p w14:paraId="13C31446">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"_Toc156381353" </w:instrText>
      </w:r>
      <w:r>
        <w:rPr>
          <w:highlight w:val="none"/>
        </w:rPr>
        <w:fldChar w:fldCharType="separate"/>
      </w:r>
      <w:r>
        <w:rPr>
          <w:rStyle w:val="12"/>
          <w:highlight w:val="none"/>
        </w:rPr>
        <w:t>1 范围</w:t>
      </w:r>
      <w:r>
        <w:rPr>
          <w:highlight w:val="none"/>
        </w:rPr>
        <w:tab/>
      </w:r>
      <w:r>
        <w:rPr>
          <w:highlight w:val="none"/>
        </w:rPr>
        <w:fldChar w:fldCharType="begin"/>
      </w:r>
      <w:r>
        <w:rPr>
          <w:highlight w:val="none"/>
        </w:rPr>
        <w:instrText xml:space="preserve"> PAGEREF _Toc156381353 \h </w:instrText>
      </w:r>
      <w:r>
        <w:rPr>
          <w:highlight w:val="none"/>
        </w:rPr>
        <w:fldChar w:fldCharType="separate"/>
      </w:r>
      <w:r>
        <w:rPr>
          <w:highlight w:val="none"/>
        </w:rPr>
        <w:t>5</w:t>
      </w:r>
      <w:r>
        <w:rPr>
          <w:highlight w:val="none"/>
        </w:rPr>
        <w:fldChar w:fldCharType="end"/>
      </w:r>
      <w:r>
        <w:rPr>
          <w:highlight w:val="none"/>
        </w:rPr>
        <w:fldChar w:fldCharType="end"/>
      </w:r>
    </w:p>
    <w:p w14:paraId="3DED72E2">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"_Toc156381354" </w:instrText>
      </w:r>
      <w:r>
        <w:rPr>
          <w:highlight w:val="none"/>
        </w:rPr>
        <w:fldChar w:fldCharType="separate"/>
      </w:r>
      <w:r>
        <w:rPr>
          <w:rStyle w:val="12"/>
          <w:highlight w:val="none"/>
        </w:rPr>
        <w:t>2 引用文件</w:t>
      </w:r>
      <w:r>
        <w:rPr>
          <w:highlight w:val="none"/>
        </w:rPr>
        <w:tab/>
      </w:r>
      <w:r>
        <w:rPr>
          <w:highlight w:val="none"/>
        </w:rPr>
        <w:fldChar w:fldCharType="begin"/>
      </w:r>
      <w:r>
        <w:rPr>
          <w:highlight w:val="none"/>
        </w:rPr>
        <w:instrText xml:space="preserve"> PAGEREF _Toc156381354 \h </w:instrText>
      </w:r>
      <w:r>
        <w:rPr>
          <w:highlight w:val="none"/>
        </w:rPr>
        <w:fldChar w:fldCharType="separate"/>
      </w:r>
      <w:r>
        <w:rPr>
          <w:highlight w:val="none"/>
        </w:rPr>
        <w:t>5</w:t>
      </w:r>
      <w:r>
        <w:rPr>
          <w:highlight w:val="none"/>
        </w:rPr>
        <w:fldChar w:fldCharType="end"/>
      </w:r>
      <w:r>
        <w:rPr>
          <w:highlight w:val="none"/>
        </w:rPr>
        <w:fldChar w:fldCharType="end"/>
      </w:r>
    </w:p>
    <w:p w14:paraId="595D1D72">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"_Toc156381355" </w:instrText>
      </w:r>
      <w:r>
        <w:rPr>
          <w:highlight w:val="none"/>
        </w:rPr>
        <w:fldChar w:fldCharType="separate"/>
      </w:r>
      <w:r>
        <w:rPr>
          <w:rStyle w:val="12"/>
          <w:highlight w:val="none"/>
        </w:rPr>
        <w:t>3 术语和计量单位</w:t>
      </w:r>
      <w:r>
        <w:rPr>
          <w:highlight w:val="none"/>
        </w:rPr>
        <w:tab/>
      </w:r>
      <w:r>
        <w:rPr>
          <w:highlight w:val="none"/>
        </w:rPr>
        <w:fldChar w:fldCharType="begin"/>
      </w:r>
      <w:r>
        <w:rPr>
          <w:highlight w:val="none"/>
        </w:rPr>
        <w:instrText xml:space="preserve"> PAGEREF _Toc156381355 \h </w:instrText>
      </w:r>
      <w:r>
        <w:rPr>
          <w:highlight w:val="none"/>
        </w:rPr>
        <w:fldChar w:fldCharType="separate"/>
      </w:r>
      <w:r>
        <w:rPr>
          <w:highlight w:val="none"/>
        </w:rPr>
        <w:t>5</w:t>
      </w:r>
      <w:r>
        <w:rPr>
          <w:highlight w:val="none"/>
        </w:rPr>
        <w:fldChar w:fldCharType="end"/>
      </w:r>
      <w:r>
        <w:rPr>
          <w:highlight w:val="none"/>
        </w:rPr>
        <w:fldChar w:fldCharType="end"/>
      </w:r>
    </w:p>
    <w:p w14:paraId="4EF28150">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"_Toc156381359" </w:instrText>
      </w:r>
      <w:r>
        <w:rPr>
          <w:highlight w:val="none"/>
        </w:rPr>
        <w:fldChar w:fldCharType="separate"/>
      </w:r>
      <w:r>
        <w:rPr>
          <w:rStyle w:val="12"/>
          <w:highlight w:val="none"/>
        </w:rPr>
        <w:t>4 概述</w:t>
      </w:r>
      <w:r>
        <w:rPr>
          <w:highlight w:val="none"/>
        </w:rPr>
        <w:tab/>
      </w:r>
      <w:r>
        <w:rPr>
          <w:highlight w:val="none"/>
        </w:rPr>
        <w:fldChar w:fldCharType="begin"/>
      </w:r>
      <w:r>
        <w:rPr>
          <w:highlight w:val="none"/>
        </w:rPr>
        <w:instrText xml:space="preserve"> PAGEREF _Toc156381359 \h </w:instrText>
      </w:r>
      <w:r>
        <w:rPr>
          <w:highlight w:val="none"/>
        </w:rPr>
        <w:fldChar w:fldCharType="separate"/>
      </w:r>
      <w:r>
        <w:rPr>
          <w:highlight w:val="none"/>
        </w:rPr>
        <w:t>5</w:t>
      </w:r>
      <w:r>
        <w:rPr>
          <w:highlight w:val="none"/>
        </w:rPr>
        <w:fldChar w:fldCharType="end"/>
      </w:r>
      <w:r>
        <w:rPr>
          <w:highlight w:val="none"/>
        </w:rPr>
        <w:fldChar w:fldCharType="end"/>
      </w:r>
    </w:p>
    <w:p w14:paraId="4857AEBB">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"_Toc156381360" </w:instrText>
      </w:r>
      <w:r>
        <w:rPr>
          <w:highlight w:val="none"/>
        </w:rPr>
        <w:fldChar w:fldCharType="separate"/>
      </w:r>
      <w:r>
        <w:rPr>
          <w:rStyle w:val="12"/>
          <w:highlight w:val="none"/>
        </w:rPr>
        <w:t>5 计量特性</w:t>
      </w:r>
      <w:r>
        <w:rPr>
          <w:highlight w:val="none"/>
        </w:rPr>
        <w:tab/>
      </w:r>
      <w:r>
        <w:rPr>
          <w:highlight w:val="none"/>
        </w:rPr>
        <w:fldChar w:fldCharType="begin"/>
      </w:r>
      <w:r>
        <w:rPr>
          <w:highlight w:val="none"/>
        </w:rPr>
        <w:instrText xml:space="preserve"> PAGEREF _Toc156381360 \h </w:instrText>
      </w:r>
      <w:r>
        <w:rPr>
          <w:highlight w:val="none"/>
        </w:rPr>
        <w:fldChar w:fldCharType="separate"/>
      </w:r>
      <w:r>
        <w:rPr>
          <w:highlight w:val="none"/>
        </w:rPr>
        <w:t>5</w:t>
      </w:r>
      <w:r>
        <w:rPr>
          <w:highlight w:val="none"/>
        </w:rPr>
        <w:fldChar w:fldCharType="end"/>
      </w:r>
      <w:r>
        <w:rPr>
          <w:highlight w:val="none"/>
        </w:rPr>
        <w:fldChar w:fldCharType="end"/>
      </w:r>
    </w:p>
    <w:p w14:paraId="66D71F83">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"_Toc156381361" </w:instrText>
      </w:r>
      <w:r>
        <w:rPr>
          <w:highlight w:val="none"/>
        </w:rPr>
        <w:fldChar w:fldCharType="separate"/>
      </w:r>
      <w:r>
        <w:rPr>
          <w:rStyle w:val="12"/>
          <w:highlight w:val="none"/>
        </w:rPr>
        <w:t>6 校准条件</w:t>
      </w:r>
      <w:r>
        <w:rPr>
          <w:highlight w:val="none"/>
        </w:rPr>
        <w:tab/>
      </w:r>
      <w:r>
        <w:rPr>
          <w:highlight w:val="none"/>
        </w:rPr>
        <w:fldChar w:fldCharType="begin"/>
      </w:r>
      <w:r>
        <w:rPr>
          <w:highlight w:val="none"/>
        </w:rPr>
        <w:instrText xml:space="preserve"> PAGEREF _Toc156381361 \h </w:instrText>
      </w:r>
      <w:r>
        <w:rPr>
          <w:highlight w:val="none"/>
        </w:rPr>
        <w:fldChar w:fldCharType="separate"/>
      </w:r>
      <w:r>
        <w:rPr>
          <w:highlight w:val="none"/>
        </w:rPr>
        <w:t>6</w:t>
      </w:r>
      <w:r>
        <w:rPr>
          <w:highlight w:val="none"/>
        </w:rPr>
        <w:fldChar w:fldCharType="end"/>
      </w:r>
      <w:r>
        <w:rPr>
          <w:highlight w:val="none"/>
        </w:rPr>
        <w:fldChar w:fldCharType="end"/>
      </w:r>
    </w:p>
    <w:p w14:paraId="65E0CDCA">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"_Toc156381362" </w:instrText>
      </w:r>
      <w:r>
        <w:rPr>
          <w:highlight w:val="none"/>
        </w:rPr>
        <w:fldChar w:fldCharType="separate"/>
      </w:r>
      <w:r>
        <w:rPr>
          <w:rStyle w:val="12"/>
          <w:highlight w:val="none"/>
        </w:rPr>
        <w:t>6.1 环境条件</w:t>
      </w:r>
      <w:r>
        <w:rPr>
          <w:highlight w:val="none"/>
        </w:rPr>
        <w:tab/>
      </w:r>
      <w:r>
        <w:rPr>
          <w:highlight w:val="none"/>
        </w:rPr>
        <w:fldChar w:fldCharType="begin"/>
      </w:r>
      <w:r>
        <w:rPr>
          <w:highlight w:val="none"/>
        </w:rPr>
        <w:instrText xml:space="preserve"> PAGEREF _Toc156381362 \h </w:instrText>
      </w:r>
      <w:r>
        <w:rPr>
          <w:highlight w:val="none"/>
        </w:rPr>
        <w:fldChar w:fldCharType="separate"/>
      </w:r>
      <w:r>
        <w:rPr>
          <w:highlight w:val="none"/>
        </w:rPr>
        <w:t>6</w:t>
      </w:r>
      <w:r>
        <w:rPr>
          <w:highlight w:val="none"/>
        </w:rPr>
        <w:fldChar w:fldCharType="end"/>
      </w:r>
      <w:r>
        <w:rPr>
          <w:highlight w:val="none"/>
        </w:rPr>
        <w:fldChar w:fldCharType="end"/>
      </w:r>
    </w:p>
    <w:p w14:paraId="7C43991E">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"_Toc156381363" </w:instrText>
      </w:r>
      <w:r>
        <w:rPr>
          <w:highlight w:val="none"/>
        </w:rPr>
        <w:fldChar w:fldCharType="separate"/>
      </w:r>
      <w:r>
        <w:rPr>
          <w:rStyle w:val="12"/>
          <w:highlight w:val="none"/>
        </w:rPr>
        <w:t>6.2 测量标准及其他设备</w:t>
      </w:r>
      <w:r>
        <w:rPr>
          <w:highlight w:val="none"/>
        </w:rPr>
        <w:tab/>
      </w:r>
      <w:r>
        <w:rPr>
          <w:highlight w:val="none"/>
        </w:rPr>
        <w:fldChar w:fldCharType="begin"/>
      </w:r>
      <w:r>
        <w:rPr>
          <w:highlight w:val="none"/>
        </w:rPr>
        <w:instrText xml:space="preserve"> PAGEREF _Toc156381363 \h </w:instrText>
      </w:r>
      <w:r>
        <w:rPr>
          <w:highlight w:val="none"/>
        </w:rPr>
        <w:fldChar w:fldCharType="separate"/>
      </w:r>
      <w:r>
        <w:rPr>
          <w:highlight w:val="none"/>
        </w:rPr>
        <w:t>6</w:t>
      </w:r>
      <w:r>
        <w:rPr>
          <w:highlight w:val="none"/>
        </w:rPr>
        <w:fldChar w:fldCharType="end"/>
      </w:r>
      <w:r>
        <w:rPr>
          <w:highlight w:val="none"/>
        </w:rPr>
        <w:fldChar w:fldCharType="end"/>
      </w:r>
    </w:p>
    <w:p w14:paraId="291D1D78">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"_Toc156381365" </w:instrText>
      </w:r>
      <w:r>
        <w:rPr>
          <w:highlight w:val="none"/>
        </w:rPr>
        <w:fldChar w:fldCharType="separate"/>
      </w:r>
      <w:r>
        <w:rPr>
          <w:rStyle w:val="12"/>
          <w:highlight w:val="none"/>
        </w:rPr>
        <w:t>7 校准项目和校准方法</w:t>
      </w:r>
      <w:r>
        <w:rPr>
          <w:highlight w:val="none"/>
        </w:rPr>
        <w:tab/>
      </w:r>
      <w:r>
        <w:rPr>
          <w:highlight w:val="none"/>
        </w:rPr>
        <w:fldChar w:fldCharType="begin"/>
      </w:r>
      <w:r>
        <w:rPr>
          <w:highlight w:val="none"/>
        </w:rPr>
        <w:instrText xml:space="preserve"> PAGEREF _Toc156381365 \h </w:instrText>
      </w:r>
      <w:r>
        <w:rPr>
          <w:highlight w:val="none"/>
        </w:rPr>
        <w:fldChar w:fldCharType="separate"/>
      </w:r>
      <w:r>
        <w:rPr>
          <w:highlight w:val="none"/>
        </w:rPr>
        <w:t>7</w:t>
      </w:r>
      <w:r>
        <w:rPr>
          <w:highlight w:val="none"/>
        </w:rPr>
        <w:fldChar w:fldCharType="end"/>
      </w:r>
      <w:r>
        <w:rPr>
          <w:highlight w:val="none"/>
        </w:rPr>
        <w:fldChar w:fldCharType="end"/>
      </w:r>
    </w:p>
    <w:p w14:paraId="5D003EE3">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"_Toc156381366" </w:instrText>
      </w:r>
      <w:r>
        <w:rPr>
          <w:highlight w:val="none"/>
        </w:rPr>
        <w:fldChar w:fldCharType="separate"/>
      </w:r>
      <w:r>
        <w:rPr>
          <w:rStyle w:val="12"/>
          <w:highlight w:val="none"/>
        </w:rPr>
        <w:t>7.1 校准项目</w:t>
      </w:r>
      <w:r>
        <w:rPr>
          <w:highlight w:val="none"/>
        </w:rPr>
        <w:tab/>
      </w:r>
      <w:r>
        <w:rPr>
          <w:highlight w:val="none"/>
        </w:rPr>
        <w:fldChar w:fldCharType="begin"/>
      </w:r>
      <w:r>
        <w:rPr>
          <w:highlight w:val="none"/>
        </w:rPr>
        <w:instrText xml:space="preserve"> PAGEREF _Toc156381366 \h </w:instrText>
      </w:r>
      <w:r>
        <w:rPr>
          <w:highlight w:val="none"/>
        </w:rPr>
        <w:fldChar w:fldCharType="separate"/>
      </w:r>
      <w:r>
        <w:rPr>
          <w:highlight w:val="none"/>
        </w:rPr>
        <w:t>7</w:t>
      </w:r>
      <w:r>
        <w:rPr>
          <w:highlight w:val="none"/>
        </w:rPr>
        <w:fldChar w:fldCharType="end"/>
      </w:r>
      <w:r>
        <w:rPr>
          <w:highlight w:val="none"/>
        </w:rPr>
        <w:fldChar w:fldCharType="end"/>
      </w:r>
    </w:p>
    <w:p w14:paraId="6D797071">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"_Toc156381367" </w:instrText>
      </w:r>
      <w:r>
        <w:rPr>
          <w:highlight w:val="none"/>
        </w:rPr>
        <w:fldChar w:fldCharType="separate"/>
      </w:r>
      <w:r>
        <w:rPr>
          <w:rStyle w:val="12"/>
          <w:highlight w:val="none"/>
        </w:rPr>
        <w:t>7.2 校准方法</w:t>
      </w:r>
      <w:r>
        <w:rPr>
          <w:highlight w:val="none"/>
        </w:rPr>
        <w:tab/>
      </w:r>
      <w:r>
        <w:rPr>
          <w:highlight w:val="none"/>
        </w:rPr>
        <w:fldChar w:fldCharType="begin"/>
      </w:r>
      <w:r>
        <w:rPr>
          <w:highlight w:val="none"/>
        </w:rPr>
        <w:instrText xml:space="preserve"> PAGEREF _Toc156381367 \h </w:instrText>
      </w:r>
      <w:r>
        <w:rPr>
          <w:highlight w:val="none"/>
        </w:rPr>
        <w:fldChar w:fldCharType="separate"/>
      </w:r>
      <w:r>
        <w:rPr>
          <w:highlight w:val="none"/>
        </w:rPr>
        <w:t>7</w:t>
      </w:r>
      <w:r>
        <w:rPr>
          <w:highlight w:val="none"/>
        </w:rPr>
        <w:fldChar w:fldCharType="end"/>
      </w:r>
      <w:r>
        <w:rPr>
          <w:highlight w:val="none"/>
        </w:rPr>
        <w:fldChar w:fldCharType="end"/>
      </w:r>
    </w:p>
    <w:p w14:paraId="66DB810E">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"_Toc156381368" </w:instrText>
      </w:r>
      <w:r>
        <w:rPr>
          <w:highlight w:val="none"/>
        </w:rPr>
        <w:fldChar w:fldCharType="separate"/>
      </w:r>
      <w:r>
        <w:rPr>
          <w:rStyle w:val="12"/>
          <w:highlight w:val="none"/>
        </w:rPr>
        <w:t>8 校准结果表达</w:t>
      </w:r>
      <w:r>
        <w:rPr>
          <w:highlight w:val="none"/>
        </w:rPr>
        <w:tab/>
      </w:r>
      <w:r>
        <w:rPr>
          <w:highlight w:val="none"/>
        </w:rPr>
        <w:fldChar w:fldCharType="begin"/>
      </w:r>
      <w:r>
        <w:rPr>
          <w:highlight w:val="none"/>
        </w:rPr>
        <w:instrText xml:space="preserve"> PAGEREF _Toc156381368 \h </w:instrText>
      </w:r>
      <w:r>
        <w:rPr>
          <w:highlight w:val="none"/>
        </w:rPr>
        <w:fldChar w:fldCharType="separate"/>
      </w:r>
      <w:r>
        <w:rPr>
          <w:highlight w:val="none"/>
        </w:rPr>
        <w:t>9</w:t>
      </w:r>
      <w:r>
        <w:rPr>
          <w:highlight w:val="none"/>
        </w:rPr>
        <w:fldChar w:fldCharType="end"/>
      </w:r>
      <w:r>
        <w:rPr>
          <w:highlight w:val="none"/>
        </w:rPr>
        <w:fldChar w:fldCharType="end"/>
      </w:r>
    </w:p>
    <w:p w14:paraId="0DF2E668">
      <w:pPr>
        <w:pStyle w:val="6"/>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"_Toc156381369" </w:instrText>
      </w:r>
      <w:r>
        <w:rPr>
          <w:highlight w:val="none"/>
        </w:rPr>
        <w:fldChar w:fldCharType="separate"/>
      </w:r>
      <w:r>
        <w:rPr>
          <w:rStyle w:val="12"/>
          <w:highlight w:val="none"/>
        </w:rPr>
        <w:t>9 复校时间间隔</w:t>
      </w:r>
      <w:r>
        <w:rPr>
          <w:highlight w:val="none"/>
        </w:rPr>
        <w:tab/>
      </w:r>
      <w:r>
        <w:rPr>
          <w:highlight w:val="none"/>
        </w:rPr>
        <w:fldChar w:fldCharType="begin"/>
      </w:r>
      <w:r>
        <w:rPr>
          <w:highlight w:val="none"/>
        </w:rPr>
        <w:instrText xml:space="preserve"> PAGEREF _Toc156381369 \h </w:instrText>
      </w:r>
      <w:r>
        <w:rPr>
          <w:highlight w:val="none"/>
        </w:rPr>
        <w:fldChar w:fldCharType="separate"/>
      </w:r>
      <w:r>
        <w:rPr>
          <w:highlight w:val="none"/>
        </w:rPr>
        <w:t>9</w:t>
      </w:r>
      <w:r>
        <w:rPr>
          <w:highlight w:val="none"/>
        </w:rPr>
        <w:fldChar w:fldCharType="end"/>
      </w:r>
      <w:r>
        <w:rPr>
          <w:highlight w:val="none"/>
        </w:rPr>
        <w:fldChar w:fldCharType="end"/>
      </w:r>
    </w:p>
    <w:p w14:paraId="3A7DE1F9">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"_Toc156381370" </w:instrText>
      </w:r>
      <w:r>
        <w:rPr>
          <w:highlight w:val="none"/>
        </w:rPr>
        <w:fldChar w:fldCharType="separate"/>
      </w:r>
      <w:r>
        <w:rPr>
          <w:rStyle w:val="12"/>
          <w:rFonts w:cstheme="majorBidi"/>
          <w:b/>
          <w:bCs/>
          <w:highlight w:val="none"/>
        </w:rPr>
        <w:t>附录A</w:t>
      </w:r>
      <w:r>
        <w:rPr>
          <w:highlight w:val="none"/>
        </w:rPr>
        <w:tab/>
      </w:r>
      <w:r>
        <w:rPr>
          <w:highlight w:val="none"/>
        </w:rPr>
        <w:fldChar w:fldCharType="begin"/>
      </w:r>
      <w:r>
        <w:rPr>
          <w:highlight w:val="none"/>
        </w:rPr>
        <w:instrText xml:space="preserve"> PAGEREF _Toc156381370 \h </w:instrText>
      </w:r>
      <w:r>
        <w:rPr>
          <w:highlight w:val="none"/>
        </w:rPr>
        <w:fldChar w:fldCharType="separate"/>
      </w:r>
      <w:r>
        <w:rPr>
          <w:highlight w:val="none"/>
        </w:rPr>
        <w:t>10</w:t>
      </w:r>
      <w:r>
        <w:rPr>
          <w:highlight w:val="none"/>
        </w:rPr>
        <w:fldChar w:fldCharType="end"/>
      </w:r>
      <w:r>
        <w:rPr>
          <w:highlight w:val="none"/>
        </w:rPr>
        <w:fldChar w:fldCharType="end"/>
      </w:r>
    </w:p>
    <w:p w14:paraId="0A52DE29">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"_Toc156381371" </w:instrText>
      </w:r>
      <w:r>
        <w:rPr>
          <w:highlight w:val="none"/>
        </w:rPr>
        <w:fldChar w:fldCharType="separate"/>
      </w:r>
      <w:r>
        <w:rPr>
          <w:rStyle w:val="12"/>
          <w:rFonts w:cstheme="majorBidi"/>
          <w:b/>
          <w:bCs/>
          <w:highlight w:val="none"/>
        </w:rPr>
        <w:t>附录B</w:t>
      </w:r>
      <w:r>
        <w:rPr>
          <w:highlight w:val="none"/>
        </w:rPr>
        <w:tab/>
      </w:r>
      <w:r>
        <w:rPr>
          <w:highlight w:val="none"/>
        </w:rPr>
        <w:fldChar w:fldCharType="begin"/>
      </w:r>
      <w:r>
        <w:rPr>
          <w:highlight w:val="none"/>
        </w:rPr>
        <w:instrText xml:space="preserve"> PAGEREF _Toc156381371 \h </w:instrText>
      </w:r>
      <w:r>
        <w:rPr>
          <w:highlight w:val="none"/>
        </w:rPr>
        <w:fldChar w:fldCharType="separate"/>
      </w:r>
      <w:r>
        <w:rPr>
          <w:highlight w:val="none"/>
        </w:rPr>
        <w:t>11</w:t>
      </w:r>
      <w:r>
        <w:rPr>
          <w:highlight w:val="none"/>
        </w:rPr>
        <w:fldChar w:fldCharType="end"/>
      </w:r>
      <w:r>
        <w:rPr>
          <w:highlight w:val="none"/>
        </w:rPr>
        <w:fldChar w:fldCharType="end"/>
      </w:r>
    </w:p>
    <w:p w14:paraId="28217010">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"_Toc156381372" </w:instrText>
      </w:r>
      <w:r>
        <w:rPr>
          <w:highlight w:val="none"/>
        </w:rPr>
        <w:fldChar w:fldCharType="separate"/>
      </w:r>
      <w:r>
        <w:rPr>
          <w:rStyle w:val="12"/>
          <w:rFonts w:cstheme="majorBidi"/>
          <w:b/>
          <w:bCs/>
          <w:highlight w:val="none"/>
        </w:rPr>
        <w:t>附录C</w:t>
      </w:r>
      <w:r>
        <w:rPr>
          <w:highlight w:val="none"/>
        </w:rPr>
        <w:tab/>
      </w:r>
      <w:r>
        <w:rPr>
          <w:highlight w:val="none"/>
        </w:rPr>
        <w:fldChar w:fldCharType="begin"/>
      </w:r>
      <w:r>
        <w:rPr>
          <w:highlight w:val="none"/>
        </w:rPr>
        <w:instrText xml:space="preserve"> PAGEREF _Toc156381372 \h </w:instrText>
      </w:r>
      <w:r>
        <w:rPr>
          <w:highlight w:val="none"/>
        </w:rPr>
        <w:fldChar w:fldCharType="separate"/>
      </w:r>
      <w:r>
        <w:rPr>
          <w:highlight w:val="none"/>
        </w:rPr>
        <w:t>12</w:t>
      </w:r>
      <w:r>
        <w:rPr>
          <w:highlight w:val="none"/>
        </w:rPr>
        <w:fldChar w:fldCharType="end"/>
      </w:r>
      <w:r>
        <w:rPr>
          <w:highlight w:val="none"/>
        </w:rPr>
        <w:fldChar w:fldCharType="end"/>
      </w:r>
    </w:p>
    <w:p w14:paraId="25D4CCE3">
      <w:pPr>
        <w:pStyle w:val="7"/>
        <w:tabs>
          <w:tab w:val="right" w:leader="dot" w:pos="8296"/>
        </w:tabs>
        <w:rPr>
          <w:rFonts w:asciiTheme="minorHAnsi" w:hAnsiTheme="minorHAnsi" w:eastAsiaTheme="minorEastAsia" w:cstheme="minorBidi"/>
          <w:kern w:val="2"/>
          <w:szCs w:val="22"/>
          <w:highlight w:val="none"/>
          <w14:ligatures w14:val="standardContextual"/>
        </w:rPr>
      </w:pPr>
      <w:r>
        <w:rPr>
          <w:highlight w:val="none"/>
        </w:rPr>
        <w:fldChar w:fldCharType="begin"/>
      </w:r>
      <w:r>
        <w:rPr>
          <w:highlight w:val="none"/>
        </w:rPr>
        <w:instrText xml:space="preserve"> HYPERLINK \l "_Toc156381373" </w:instrText>
      </w:r>
      <w:r>
        <w:rPr>
          <w:highlight w:val="none"/>
        </w:rPr>
        <w:fldChar w:fldCharType="separate"/>
      </w:r>
      <w:r>
        <w:rPr>
          <w:rStyle w:val="12"/>
          <w:rFonts w:cstheme="majorBidi"/>
          <w:b/>
          <w:bCs/>
          <w:highlight w:val="none"/>
        </w:rPr>
        <w:t>附录D</w:t>
      </w:r>
      <w:r>
        <w:rPr>
          <w:highlight w:val="none"/>
        </w:rPr>
        <w:tab/>
      </w:r>
      <w:r>
        <w:rPr>
          <w:highlight w:val="none"/>
        </w:rPr>
        <w:fldChar w:fldCharType="begin"/>
      </w:r>
      <w:r>
        <w:rPr>
          <w:highlight w:val="none"/>
        </w:rPr>
        <w:instrText xml:space="preserve"> PAGEREF _Toc156381373 \h </w:instrText>
      </w:r>
      <w:r>
        <w:rPr>
          <w:highlight w:val="none"/>
        </w:rPr>
        <w:fldChar w:fldCharType="separate"/>
      </w:r>
      <w:r>
        <w:rPr>
          <w:highlight w:val="none"/>
        </w:rPr>
        <w:t>13</w:t>
      </w:r>
      <w:r>
        <w:rPr>
          <w:highlight w:val="none"/>
        </w:rPr>
        <w:fldChar w:fldCharType="end"/>
      </w:r>
      <w:r>
        <w:rPr>
          <w:highlight w:val="none"/>
        </w:rPr>
        <w:fldChar w:fldCharType="end"/>
      </w:r>
    </w:p>
    <w:p w14:paraId="52E26121">
      <w:pPr>
        <w:autoSpaceDE w:val="0"/>
        <w:autoSpaceDN w:val="0"/>
        <w:adjustRightInd w:val="0"/>
        <w:spacing w:line="360" w:lineRule="auto"/>
        <w:ind w:left="1416" w:leftChars="590"/>
        <w:outlineLvl w:val="0"/>
        <w:rPr>
          <w:highlight w:val="none"/>
        </w:rPr>
        <w:sectPr>
          <w:pgSz w:w="11906" w:h="16838"/>
          <w:pgMar w:top="1440" w:right="1800" w:bottom="1440" w:left="1800" w:header="851" w:footer="992" w:gutter="0"/>
          <w:pgNumType w:fmt="upperRoman"/>
          <w:cols w:space="425" w:num="1"/>
          <w:docGrid w:type="lines" w:linePitch="326" w:charSpace="0"/>
        </w:sectPr>
      </w:pPr>
      <w:r>
        <w:rPr>
          <w:rFonts w:asciiTheme="minorEastAsia" w:hAnsiTheme="minorEastAsia"/>
          <w:color w:val="D9D9D9" w:themeColor="background1" w:themeShade="D9"/>
          <w:highlight w:val="none"/>
        </w:rPr>
        <w:fldChar w:fldCharType="end"/>
      </w:r>
    </w:p>
    <w:p w14:paraId="62CA3171">
      <w:pPr>
        <w:pStyle w:val="13"/>
        <w:numPr>
          <w:ilvl w:val="0"/>
          <w:numId w:val="0"/>
        </w:numPr>
        <w:spacing w:before="640" w:after="560"/>
        <w:rPr>
          <w:rFonts w:ascii="Times New Roman"/>
          <w:sz w:val="44"/>
          <w:szCs w:val="44"/>
          <w:highlight w:val="none"/>
        </w:rPr>
      </w:pPr>
      <w:bookmarkStart w:id="0" w:name="_Toc156381352"/>
      <w:r>
        <w:rPr>
          <w:rFonts w:hint="eastAsia" w:hAnsi="宋体"/>
          <w:sz w:val="44"/>
          <w:szCs w:val="44"/>
          <w:highlight w:val="none"/>
        </w:rPr>
        <w:t>引</w:t>
      </w:r>
      <w:r>
        <w:rPr>
          <w:rFonts w:ascii="Times New Roman"/>
          <w:sz w:val="44"/>
          <w:szCs w:val="44"/>
          <w:highlight w:val="none"/>
        </w:rPr>
        <w:t xml:space="preserve"> </w:t>
      </w:r>
      <w:r>
        <w:rPr>
          <w:rFonts w:hint="eastAsia" w:ascii="Times New Roman"/>
          <w:sz w:val="44"/>
          <w:szCs w:val="44"/>
          <w:highlight w:val="none"/>
        </w:rPr>
        <w:t>言</w:t>
      </w:r>
      <w:bookmarkEnd w:id="0"/>
    </w:p>
    <w:p w14:paraId="2FE16986">
      <w:pPr>
        <w:pStyle w:val="14"/>
        <w:adjustRightInd w:val="0"/>
        <w:snapToGrid w:val="0"/>
        <w:spacing w:line="360" w:lineRule="auto"/>
        <w:ind w:firstLine="480"/>
        <w:rPr>
          <w:highlight w:val="none"/>
        </w:rPr>
      </w:pPr>
      <w:r>
        <w:rPr>
          <w:highlight w:val="none"/>
        </w:rPr>
        <w:t>JJF 1001-2011《通用计量名词术语》、JJF 1032-2005 《光学辐射计量名词及定义》、JJF 1059.1-2012《测量不确定度评定与表示》和JJF 1071-2010《国家计量校准规范编写规则》共同构成本</w:t>
      </w:r>
      <w:bookmarkStart w:id="1" w:name="OLE_LINK3"/>
      <w:bookmarkStart w:id="2" w:name="OLE_LINK2"/>
      <w:r>
        <w:rPr>
          <w:highlight w:val="none"/>
        </w:rPr>
        <w:t>校准</w:t>
      </w:r>
      <w:bookmarkEnd w:id="1"/>
      <w:bookmarkEnd w:id="2"/>
      <w:r>
        <w:rPr>
          <w:highlight w:val="none"/>
        </w:rPr>
        <w:t>方法制订工作的基础性系列规范。</w:t>
      </w:r>
    </w:p>
    <w:p w14:paraId="01D7948C">
      <w:pPr>
        <w:pStyle w:val="14"/>
        <w:adjustRightInd w:val="0"/>
        <w:snapToGrid w:val="0"/>
        <w:spacing w:line="360" w:lineRule="auto"/>
        <w:ind w:firstLine="480"/>
        <w:rPr>
          <w:highlight w:val="none"/>
        </w:rPr>
      </w:pPr>
      <w:r>
        <w:rPr>
          <w:highlight w:val="none"/>
        </w:rPr>
        <w:t>本</w:t>
      </w:r>
      <w:r>
        <w:rPr>
          <w:rFonts w:hint="eastAsia"/>
          <w:highlight w:val="none"/>
        </w:rPr>
        <w:t>规范</w:t>
      </w:r>
      <w:r>
        <w:rPr>
          <w:highlight w:val="none"/>
        </w:rPr>
        <w:t>为首次发布。</w:t>
      </w:r>
    </w:p>
    <w:p w14:paraId="466A5FD4">
      <w:pPr>
        <w:widowControl/>
        <w:jc w:val="left"/>
        <w:rPr>
          <w:highlight w:val="none"/>
        </w:rPr>
      </w:pPr>
      <w:r>
        <w:rPr>
          <w:highlight w:val="none"/>
        </w:rPr>
        <w:br w:type="page"/>
      </w:r>
    </w:p>
    <w:p w14:paraId="79EB1EDB">
      <w:pPr>
        <w:pStyle w:val="14"/>
        <w:numPr>
          <w:ilvl w:val="0"/>
          <w:numId w:val="2"/>
        </w:numPr>
        <w:adjustRightInd w:val="0"/>
        <w:snapToGrid w:val="0"/>
        <w:spacing w:line="400" w:lineRule="atLeast"/>
        <w:ind w:firstLineChars="0"/>
        <w:rPr>
          <w:highlight w:val="none"/>
        </w:rPr>
      </w:pPr>
    </w:p>
    <w:p w14:paraId="4C0BBC68">
      <w:pPr>
        <w:spacing w:line="360" w:lineRule="auto"/>
        <w:jc w:val="center"/>
        <w:rPr>
          <w:rFonts w:ascii="黑体" w:eastAsia="黑体"/>
          <w:sz w:val="44"/>
          <w:szCs w:val="44"/>
          <w:highlight w:val="none"/>
        </w:rPr>
      </w:pPr>
      <w:r>
        <w:rPr>
          <w:rFonts w:hint="eastAsia" w:ascii="黑体" w:eastAsia="黑体"/>
          <w:kern w:val="0"/>
          <w:sz w:val="32"/>
          <w:szCs w:val="32"/>
          <w:highlight w:val="none"/>
        </w:rPr>
        <w:t>显色指数校准规范</w:t>
      </w:r>
    </w:p>
    <w:p w14:paraId="7947BD91">
      <w:pPr>
        <w:pStyle w:val="15"/>
        <w:rPr>
          <w:highlight w:val="none"/>
        </w:rPr>
      </w:pPr>
      <w:bookmarkStart w:id="3" w:name="_Toc156381353"/>
      <w:r>
        <w:rPr>
          <w:highlight w:val="none"/>
        </w:rPr>
        <w:t xml:space="preserve">1 </w:t>
      </w:r>
      <w:r>
        <w:rPr>
          <w:rFonts w:hint="eastAsia"/>
          <w:highlight w:val="none"/>
        </w:rPr>
        <w:t>范围</w:t>
      </w:r>
      <w:bookmarkEnd w:id="3"/>
    </w:p>
    <w:p w14:paraId="055DC655">
      <w:pPr>
        <w:ind w:firstLine="480"/>
        <w:rPr>
          <w:color w:val="FF0000"/>
          <w:highlight w:val="none"/>
        </w:rPr>
      </w:pPr>
      <w:r>
        <w:rPr>
          <w:rFonts w:hint="eastAsia"/>
          <w:highlight w:val="none"/>
        </w:rPr>
        <w:t>本方法适用于人工照明光源（单色辐射占优势的光源除外）的显色指数量值校准。</w:t>
      </w:r>
    </w:p>
    <w:p w14:paraId="4E7300DF">
      <w:pPr>
        <w:pStyle w:val="15"/>
        <w:rPr>
          <w:highlight w:val="none"/>
        </w:rPr>
      </w:pPr>
      <w:bookmarkStart w:id="4" w:name="_Toc156381354"/>
      <w:r>
        <w:rPr>
          <w:rFonts w:hint="eastAsia"/>
          <w:highlight w:val="none"/>
        </w:rPr>
        <w:t>2 引用文件</w:t>
      </w:r>
      <w:bookmarkEnd w:id="4"/>
    </w:p>
    <w:p w14:paraId="2CF542FB">
      <w:pPr>
        <w:adjustRightInd w:val="0"/>
        <w:snapToGrid w:val="0"/>
        <w:ind w:firstLine="480" w:firstLineChars="200"/>
        <w:rPr>
          <w:rFonts w:hint="eastAsia" w:asciiTheme="minorEastAsia" w:hAnsiTheme="minorEastAsia"/>
          <w:highlight w:val="none"/>
        </w:rPr>
      </w:pPr>
      <w:r>
        <w:rPr>
          <w:rFonts w:hint="eastAsia" w:asciiTheme="minorEastAsia" w:hAnsiTheme="minorEastAsia"/>
          <w:highlight w:val="none"/>
        </w:rPr>
        <w:t>本方法引用下列文件：</w:t>
      </w:r>
    </w:p>
    <w:p w14:paraId="2ACE5D63">
      <w:pPr>
        <w:ind w:firstLine="480"/>
        <w:rPr>
          <w:highlight w:val="none"/>
        </w:rPr>
      </w:pPr>
      <w:r>
        <w:rPr>
          <w:rFonts w:hint="eastAsia"/>
          <w:highlight w:val="none"/>
        </w:rPr>
        <w:t>GB</w:t>
      </w:r>
      <w:r>
        <w:rPr>
          <w:highlight w:val="none"/>
        </w:rPr>
        <w:t>/T 26180</w:t>
      </w:r>
      <w:r>
        <w:rPr>
          <w:rFonts w:hint="eastAsia"/>
          <w:highlight w:val="none"/>
        </w:rPr>
        <w:t xml:space="preserve"> ／CIE 13.3 光源显色性的表示和测量方法</w:t>
      </w:r>
    </w:p>
    <w:p w14:paraId="49E17223">
      <w:pPr>
        <w:ind w:firstLine="480"/>
        <w:rPr>
          <w:highlight w:val="none"/>
        </w:rPr>
      </w:pPr>
      <w:r>
        <w:rPr>
          <w:rFonts w:hint="eastAsia"/>
          <w:highlight w:val="none"/>
        </w:rPr>
        <w:t>GB/T 5702 光源显色性评价方法</w:t>
      </w:r>
    </w:p>
    <w:p w14:paraId="68E47404">
      <w:pPr>
        <w:ind w:firstLine="480"/>
        <w:rPr>
          <w:highlight w:val="none"/>
        </w:rPr>
      </w:pPr>
      <w:r>
        <w:rPr>
          <w:rFonts w:hint="eastAsia"/>
          <w:highlight w:val="none"/>
        </w:rPr>
        <w:t>JJG 213 分布(颜色)温度标准灯检定规程</w:t>
      </w:r>
    </w:p>
    <w:p w14:paraId="1F43AC59">
      <w:pPr>
        <w:ind w:firstLine="480"/>
        <w:rPr>
          <w:highlight w:val="none"/>
        </w:rPr>
      </w:pPr>
      <w:r>
        <w:rPr>
          <w:rFonts w:hint="eastAsia"/>
          <w:highlight w:val="none"/>
        </w:rPr>
        <w:t>JJG</w:t>
      </w:r>
      <w:r>
        <w:rPr>
          <w:highlight w:val="none"/>
        </w:rPr>
        <w:t xml:space="preserve"> 1967</w:t>
      </w:r>
      <w:r>
        <w:rPr>
          <w:rFonts w:hint="eastAsia"/>
          <w:highlight w:val="none"/>
        </w:rPr>
        <w:t xml:space="preserve"> 平均颜色温度标准灯校准规范</w:t>
      </w:r>
    </w:p>
    <w:p w14:paraId="79FC0EC9">
      <w:pPr>
        <w:adjustRightInd w:val="0"/>
        <w:snapToGrid w:val="0"/>
        <w:ind w:firstLine="480" w:firstLineChars="200"/>
        <w:rPr>
          <w:rFonts w:hint="eastAsia" w:asciiTheme="minorEastAsia" w:hAnsiTheme="minorEastAsia"/>
          <w:highlight w:val="none"/>
        </w:rPr>
      </w:pPr>
      <w:r>
        <w:rPr>
          <w:rFonts w:hint="eastAsia" w:ascii="宋体" w:hAnsi="宋体"/>
          <w:highlight w:val="none"/>
        </w:rPr>
        <w:t>凡是注日期的引用文件，仅注日期的版本适用于本方法；凡是未注日期的引用文件，其最新版本（包括所有的修改单）适用于本</w:t>
      </w:r>
      <w:r>
        <w:rPr>
          <w:rFonts w:hint="eastAsia" w:asciiTheme="minorEastAsia" w:hAnsiTheme="minorEastAsia"/>
          <w:highlight w:val="none"/>
        </w:rPr>
        <w:t>方法。</w:t>
      </w:r>
    </w:p>
    <w:p w14:paraId="55D03273">
      <w:pPr>
        <w:pStyle w:val="15"/>
        <w:rPr>
          <w:highlight w:val="none"/>
        </w:rPr>
      </w:pPr>
      <w:bookmarkStart w:id="5" w:name="_Toc156381355"/>
      <w:r>
        <w:rPr>
          <w:highlight w:val="none"/>
        </w:rPr>
        <w:t xml:space="preserve">3 </w:t>
      </w:r>
      <w:r>
        <w:rPr>
          <w:rFonts w:hint="eastAsia"/>
          <w:highlight w:val="none"/>
        </w:rPr>
        <w:t>术语和计量单位</w:t>
      </w:r>
      <w:bookmarkEnd w:id="5"/>
    </w:p>
    <w:p w14:paraId="43D46FCB">
      <w:pPr>
        <w:pStyle w:val="17"/>
        <w:rPr>
          <w:rFonts w:ascii="Times New Roman" w:hAnsi="Times New Roman" w:cs="Times New Roman"/>
          <w:highlight w:val="none"/>
        </w:rPr>
      </w:pPr>
      <w:bookmarkStart w:id="6" w:name="_Toc62648507"/>
      <w:bookmarkStart w:id="7" w:name="_Toc156381356"/>
      <w:r>
        <w:rPr>
          <w:rFonts w:ascii="Times New Roman"/>
          <w:highlight w:val="none"/>
        </w:rPr>
        <w:t>3</w:t>
      </w:r>
      <w:r>
        <w:rPr>
          <w:rFonts w:ascii="Times New Roman" w:hAnsi="Times New Roman" w:cs="Times New Roman"/>
          <w:highlight w:val="none"/>
        </w:rPr>
        <w:t>.1</w:t>
      </w:r>
      <w:bookmarkEnd w:id="6"/>
      <w:bookmarkStart w:id="8" w:name="_Toc62648508"/>
      <w:r>
        <w:rPr>
          <w:rFonts w:ascii="Times New Roman" w:hAnsi="Times New Roman" w:cs="Times New Roman"/>
          <w:highlight w:val="none"/>
        </w:rPr>
        <w:t>显色指数</w:t>
      </w:r>
      <w:r>
        <w:rPr>
          <w:rFonts w:ascii="Times New Roman" w:hAnsi="Times New Roman" w:cs="Times New Roman"/>
          <w:i/>
          <w:iCs/>
          <w:highlight w:val="none"/>
        </w:rPr>
        <w:t>R</w:t>
      </w:r>
      <w:r>
        <w:rPr>
          <w:rFonts w:ascii="Times New Roman" w:hAnsi="Times New Roman" w:cs="Times New Roman"/>
          <w:highlight w:val="none"/>
        </w:rPr>
        <w:t xml:space="preserve"> </w:t>
      </w:r>
      <w:bookmarkStart w:id="9" w:name="_Hlk62715770"/>
      <w:r>
        <w:rPr>
          <w:rFonts w:hint="eastAsia" w:ascii="Times New Roman" w:hAnsi="Times New Roman" w:cs="Times New Roman"/>
          <w:highlight w:val="none"/>
        </w:rPr>
        <w:t>c</w:t>
      </w:r>
      <w:r>
        <w:rPr>
          <w:rFonts w:ascii="Times New Roman" w:hAnsi="Times New Roman" w:cs="Times New Roman"/>
          <w:highlight w:val="none"/>
        </w:rPr>
        <w:t>olour rendering index</w:t>
      </w:r>
      <w:bookmarkEnd w:id="9"/>
      <w:r>
        <w:rPr>
          <w:rFonts w:ascii="Times New Roman" w:hAnsi="Times New Roman" w:cs="Times New Roman"/>
          <w:highlight w:val="none"/>
        </w:rPr>
        <w:t xml:space="preserve"> </w:t>
      </w:r>
      <w:r>
        <w:rPr>
          <w:rFonts w:ascii="Times New Roman" w:hAnsi="Times New Roman" w:cs="Times New Roman"/>
          <w:i/>
          <w:iCs/>
          <w:highlight w:val="none"/>
        </w:rPr>
        <w:t>R</w:t>
      </w:r>
      <w:bookmarkEnd w:id="7"/>
      <w:bookmarkEnd w:id="8"/>
    </w:p>
    <w:p w14:paraId="47D19BA8">
      <w:pPr>
        <w:ind w:firstLine="480"/>
        <w:rPr>
          <w:rFonts w:hint="eastAsia" w:ascii="宋体" w:hAnsi="宋体" w:eastAsia="宋体"/>
          <w:color w:val="000000"/>
          <w:highlight w:val="none"/>
        </w:rPr>
      </w:pPr>
      <w:r>
        <w:rPr>
          <w:rFonts w:ascii="宋体" w:hAnsi="宋体" w:eastAsia="宋体"/>
          <w:color w:val="000000"/>
          <w:highlight w:val="none"/>
        </w:rPr>
        <w:t>在具有合理允差的色适应状态下，被待测施照体照明的物体的心理物理色与用参比施照体照明同一物体的心理物理色符合程度的度量。</w:t>
      </w:r>
    </w:p>
    <w:p w14:paraId="1428DBC1">
      <w:pPr>
        <w:ind w:firstLine="480"/>
        <w:rPr>
          <w:highlight w:val="none"/>
        </w:rPr>
      </w:pPr>
      <w:r>
        <w:rPr>
          <w:rFonts w:hint="eastAsia" w:ascii="宋体" w:hAnsi="宋体" w:eastAsia="宋体"/>
          <w:color w:val="000000"/>
          <w:highlight w:val="none"/>
        </w:rPr>
        <w:t>单位为：1。</w:t>
      </w:r>
    </w:p>
    <w:p w14:paraId="4F4D5EDC">
      <w:pPr>
        <w:pStyle w:val="17"/>
        <w:rPr>
          <w:rFonts w:ascii="Times New Roman" w:hAnsi="Times New Roman" w:cs="Times New Roman"/>
          <w:highlight w:val="none"/>
        </w:rPr>
      </w:pPr>
      <w:bookmarkStart w:id="10" w:name="_Toc62648509"/>
      <w:bookmarkStart w:id="11" w:name="_Toc156381357"/>
      <w:r>
        <w:rPr>
          <w:rFonts w:ascii="Times New Roman" w:hAnsi="Times New Roman" w:cs="Times New Roman"/>
          <w:highlight w:val="none"/>
        </w:rPr>
        <w:t xml:space="preserve">3.2 </w:t>
      </w:r>
      <w:r>
        <w:rPr>
          <w:rFonts w:hint="eastAsia" w:ascii="Times New Roman" w:hAnsi="Times New Roman" w:cs="Times New Roman"/>
          <w:highlight w:val="none"/>
        </w:rPr>
        <w:t>CIE</w:t>
      </w:r>
      <w:r>
        <w:rPr>
          <w:rFonts w:ascii="Times New Roman" w:hAnsi="Times New Roman" w:cs="Times New Roman"/>
          <w:highlight w:val="none"/>
        </w:rPr>
        <w:t xml:space="preserve"> 1974特殊显色指数</w:t>
      </w:r>
      <w:r>
        <w:rPr>
          <w:rFonts w:ascii="Times New Roman" w:hAnsi="Times New Roman" w:cs="Times New Roman"/>
          <w:i/>
          <w:iCs/>
          <w:highlight w:val="none"/>
        </w:rPr>
        <w:t>R</w:t>
      </w:r>
      <w:r>
        <w:rPr>
          <w:rFonts w:ascii="Times New Roman" w:hAnsi="Times New Roman" w:cs="Times New Roman"/>
          <w:i/>
          <w:iCs/>
          <w:highlight w:val="none"/>
          <w:vertAlign w:val="subscript"/>
        </w:rPr>
        <w:t>i</w:t>
      </w:r>
      <w:r>
        <w:rPr>
          <w:rFonts w:ascii="Times New Roman" w:hAnsi="Times New Roman" w:cs="Times New Roman"/>
          <w:highlight w:val="none"/>
        </w:rPr>
        <w:t xml:space="preserve"> </w:t>
      </w:r>
      <w:r>
        <w:rPr>
          <w:rFonts w:hint="eastAsia" w:ascii="Times New Roman" w:hAnsi="Times New Roman" w:cs="Times New Roman"/>
          <w:highlight w:val="none"/>
        </w:rPr>
        <w:t>CIE</w:t>
      </w:r>
      <w:r>
        <w:rPr>
          <w:rFonts w:ascii="Times New Roman" w:hAnsi="Times New Roman" w:cs="Times New Roman"/>
          <w:highlight w:val="none"/>
        </w:rPr>
        <w:t xml:space="preserve"> 1974 special colour rendering indices </w:t>
      </w:r>
      <w:r>
        <w:rPr>
          <w:rFonts w:ascii="Times New Roman" w:hAnsi="Times New Roman" w:cs="Times New Roman"/>
          <w:i/>
          <w:iCs/>
          <w:highlight w:val="none"/>
        </w:rPr>
        <w:t>R</w:t>
      </w:r>
      <w:r>
        <w:rPr>
          <w:rFonts w:ascii="Times New Roman" w:hAnsi="Times New Roman" w:cs="Times New Roman"/>
          <w:i/>
          <w:iCs/>
          <w:highlight w:val="none"/>
          <w:vertAlign w:val="subscript"/>
        </w:rPr>
        <w:t>i</w:t>
      </w:r>
      <w:bookmarkEnd w:id="10"/>
      <w:bookmarkEnd w:id="11"/>
    </w:p>
    <w:p w14:paraId="663D0E2A">
      <w:pPr>
        <w:ind w:firstLine="480"/>
        <w:rPr>
          <w:i/>
          <w:iCs/>
          <w:highlight w:val="none"/>
        </w:rPr>
      </w:pPr>
      <w:r>
        <w:rPr>
          <w:rFonts w:ascii="宋体" w:hAnsi="宋体" w:eastAsia="宋体"/>
          <w:color w:val="000000"/>
          <w:highlight w:val="none"/>
        </w:rPr>
        <w:t>在具有合理允差的色适应状态下，被待测施照体照明的</w:t>
      </w:r>
      <w:r>
        <w:rPr>
          <w:rFonts w:ascii="TimesNewRomanPSMT" w:hAnsi="TimesNewRomanPSMT"/>
          <w:color w:val="000000"/>
          <w:highlight w:val="none"/>
        </w:rPr>
        <w:t>CIE</w:t>
      </w:r>
      <w:bookmarkStart w:id="12" w:name="_Hlk62505808"/>
      <w:r>
        <w:rPr>
          <w:rFonts w:ascii="宋体" w:hAnsi="宋体" w:eastAsia="宋体"/>
          <w:color w:val="000000"/>
          <w:highlight w:val="none"/>
        </w:rPr>
        <w:t>试验色样</w:t>
      </w:r>
      <w:bookmarkEnd w:id="12"/>
      <w:r>
        <w:rPr>
          <w:rFonts w:ascii="宋体" w:hAnsi="宋体" w:eastAsia="宋体"/>
          <w:color w:val="000000"/>
          <w:highlight w:val="none"/>
        </w:rPr>
        <w:t>的心理物理色与用参比施照体照明同一色样的心理物理色符合程度的度量。</w:t>
      </w:r>
    </w:p>
    <w:p w14:paraId="4F553ED8">
      <w:pPr>
        <w:pStyle w:val="17"/>
        <w:rPr>
          <w:rFonts w:ascii="Times New Roman" w:hAnsi="Times New Roman" w:cs="Times New Roman"/>
          <w:highlight w:val="none"/>
        </w:rPr>
      </w:pPr>
      <w:bookmarkStart w:id="13" w:name="_Toc62648510"/>
      <w:bookmarkStart w:id="14" w:name="_Toc156381358"/>
      <w:r>
        <w:rPr>
          <w:rFonts w:ascii="Times New Roman" w:hAnsi="Times New Roman" w:cs="Times New Roman"/>
          <w:highlight w:val="none"/>
        </w:rPr>
        <w:t xml:space="preserve">3.3 </w:t>
      </w:r>
      <w:r>
        <w:rPr>
          <w:rFonts w:hint="eastAsia" w:ascii="Times New Roman" w:hAnsi="Times New Roman" w:cs="Times New Roman"/>
          <w:highlight w:val="none"/>
        </w:rPr>
        <w:t>CIE</w:t>
      </w:r>
      <w:r>
        <w:rPr>
          <w:rFonts w:ascii="Times New Roman" w:hAnsi="Times New Roman" w:cs="Times New Roman"/>
          <w:highlight w:val="none"/>
        </w:rPr>
        <w:t xml:space="preserve"> 1974一般显色指数</w:t>
      </w:r>
      <w:r>
        <w:rPr>
          <w:rFonts w:ascii="Times New Roman" w:hAnsi="Times New Roman" w:cs="Times New Roman"/>
          <w:i/>
          <w:iCs/>
          <w:highlight w:val="none"/>
        </w:rPr>
        <w:t>R</w:t>
      </w:r>
      <w:r>
        <w:rPr>
          <w:rFonts w:ascii="Times New Roman" w:hAnsi="Times New Roman" w:cs="Times New Roman"/>
          <w:highlight w:val="none"/>
          <w:vertAlign w:val="subscript"/>
        </w:rPr>
        <w:t>a</w:t>
      </w:r>
      <w:r>
        <w:rPr>
          <w:rFonts w:ascii="Times New Roman" w:hAnsi="Times New Roman" w:cs="Times New Roman"/>
          <w:highlight w:val="none"/>
        </w:rPr>
        <w:t xml:space="preserve"> </w:t>
      </w:r>
      <w:r>
        <w:rPr>
          <w:rFonts w:hint="eastAsia" w:ascii="Times New Roman" w:hAnsi="Times New Roman" w:cs="Times New Roman"/>
          <w:highlight w:val="none"/>
        </w:rPr>
        <w:t>CIE</w:t>
      </w:r>
      <w:r>
        <w:rPr>
          <w:rFonts w:ascii="Times New Roman" w:hAnsi="Times New Roman" w:cs="Times New Roman"/>
          <w:highlight w:val="none"/>
        </w:rPr>
        <w:t xml:space="preserve"> 1974 general colour rendering index </w:t>
      </w:r>
      <w:r>
        <w:rPr>
          <w:rFonts w:hint="eastAsia" w:ascii="Times New Roman" w:hAnsi="Times New Roman" w:cs="Times New Roman"/>
          <w:i/>
          <w:iCs/>
          <w:highlight w:val="none"/>
        </w:rPr>
        <w:t>R</w:t>
      </w:r>
      <w:r>
        <w:rPr>
          <w:rFonts w:hint="eastAsia" w:ascii="Times New Roman" w:hAnsi="Times New Roman" w:cs="Times New Roman"/>
          <w:highlight w:val="none"/>
          <w:vertAlign w:val="subscript"/>
        </w:rPr>
        <w:t>a</w:t>
      </w:r>
      <w:bookmarkEnd w:id="13"/>
      <w:bookmarkEnd w:id="14"/>
    </w:p>
    <w:p w14:paraId="1458B94A">
      <w:pPr>
        <w:ind w:firstLine="480"/>
        <w:rPr>
          <w:highlight w:val="none"/>
        </w:rPr>
      </w:pPr>
      <w:r>
        <w:rPr>
          <w:rFonts w:ascii="宋体" w:hAnsi="宋体" w:eastAsia="宋体"/>
          <w:color w:val="000000"/>
          <w:highlight w:val="none"/>
        </w:rPr>
        <w:t>一组八个特定</w:t>
      </w:r>
      <w:r>
        <w:rPr>
          <w:rFonts w:hint="eastAsia" w:ascii="宋体" w:hAnsi="宋体" w:eastAsia="宋体"/>
          <w:color w:val="000000"/>
          <w:highlight w:val="none"/>
        </w:rPr>
        <w:t>试验</w:t>
      </w:r>
      <w:r>
        <w:rPr>
          <w:rFonts w:ascii="宋体" w:hAnsi="宋体" w:eastAsia="宋体"/>
          <w:color w:val="000000"/>
          <w:highlight w:val="none"/>
        </w:rPr>
        <w:t>色样的</w:t>
      </w:r>
      <w:r>
        <w:rPr>
          <w:rFonts w:ascii="TimesNewRomanPSMT" w:hAnsi="TimesNewRomanPSMT"/>
          <w:color w:val="000000"/>
          <w:highlight w:val="none"/>
        </w:rPr>
        <w:t>CIE 1974</w:t>
      </w:r>
      <w:r>
        <w:rPr>
          <w:rFonts w:ascii="宋体" w:hAnsi="宋体" w:eastAsia="宋体"/>
          <w:color w:val="000000"/>
          <w:highlight w:val="none"/>
        </w:rPr>
        <w:t>特殊显色指数的平均值</w:t>
      </w:r>
      <w:r>
        <w:rPr>
          <w:rFonts w:hint="eastAsia"/>
          <w:highlight w:val="none"/>
        </w:rPr>
        <w:t>。</w:t>
      </w:r>
    </w:p>
    <w:p w14:paraId="2C0E3492">
      <w:pPr>
        <w:pStyle w:val="15"/>
        <w:rPr>
          <w:highlight w:val="none"/>
        </w:rPr>
      </w:pPr>
      <w:bookmarkStart w:id="15" w:name="_Toc156381359"/>
      <w:r>
        <w:rPr>
          <w:rFonts w:hint="eastAsia"/>
          <w:highlight w:val="none"/>
        </w:rPr>
        <w:t>4 概述</w:t>
      </w:r>
      <w:bookmarkEnd w:id="15"/>
    </w:p>
    <w:p w14:paraId="3803888D">
      <w:pPr>
        <w:ind w:firstLine="480" w:firstLineChars="200"/>
        <w:rPr>
          <w:highlight w:val="none"/>
        </w:rPr>
      </w:pPr>
      <w:r>
        <w:rPr>
          <w:rFonts w:hint="eastAsia"/>
          <w:highlight w:val="none"/>
        </w:rPr>
        <w:t>使用不同光谱功率分布的光源去照明物体，一般产生的颜色感觉是不同的。光源的这种决定被照射物体颜色感觉的性质称之为显色性。用于评价光源显色性的一组参数为显色指数，包括特殊显色指数和一般显色指数。</w:t>
      </w:r>
    </w:p>
    <w:p w14:paraId="53D7EDB4">
      <w:pPr>
        <w:ind w:firstLine="480" w:firstLineChars="200"/>
        <w:rPr>
          <w:highlight w:val="none"/>
        </w:rPr>
      </w:pPr>
      <w:r>
        <w:rPr>
          <w:rFonts w:hint="eastAsia"/>
          <w:highlight w:val="none"/>
        </w:rPr>
        <w:t>显色指数标准灯是用来保存和传递显色指数量值的计量器具，是特制的或特别挑选的光源。</w:t>
      </w:r>
    </w:p>
    <w:p w14:paraId="7A9A55F2">
      <w:pPr>
        <w:pStyle w:val="15"/>
        <w:rPr>
          <w:highlight w:val="none"/>
        </w:rPr>
      </w:pPr>
      <w:bookmarkStart w:id="16" w:name="_Toc156381360"/>
      <w:r>
        <w:rPr>
          <w:rFonts w:hint="eastAsia"/>
          <w:highlight w:val="none"/>
        </w:rPr>
        <w:t>5 计量特性</w:t>
      </w:r>
      <w:bookmarkEnd w:id="16"/>
    </w:p>
    <w:p w14:paraId="15BE06E2">
      <w:pPr>
        <w:rPr>
          <w:highlight w:val="none"/>
        </w:rPr>
      </w:pPr>
      <w:r>
        <w:rPr>
          <w:rFonts w:hint="eastAsia"/>
          <w:highlight w:val="none"/>
        </w:rPr>
        <w:t>5</w:t>
      </w:r>
      <w:r>
        <w:rPr>
          <w:highlight w:val="none"/>
        </w:rPr>
        <w:t xml:space="preserve">.1 </w:t>
      </w:r>
      <w:r>
        <w:rPr>
          <w:rFonts w:hint="eastAsia"/>
          <w:highlight w:val="none"/>
        </w:rPr>
        <w:t>一般显色指数</w:t>
      </w:r>
      <w:r>
        <w:rPr>
          <w:rFonts w:hint="eastAsia"/>
          <w:i/>
          <w:iCs/>
          <w:highlight w:val="none"/>
        </w:rPr>
        <w:t>R</w:t>
      </w:r>
      <w:r>
        <w:rPr>
          <w:rFonts w:hint="eastAsia"/>
          <w:highlight w:val="none"/>
          <w:vertAlign w:val="subscript"/>
        </w:rPr>
        <w:t>a</w:t>
      </w:r>
      <w:r>
        <w:rPr>
          <w:rFonts w:hint="eastAsia"/>
          <w:highlight w:val="none"/>
        </w:rPr>
        <w:t>：</w:t>
      </w:r>
      <w:r>
        <w:rPr>
          <w:rFonts w:hint="eastAsia"/>
          <w:i/>
          <w:iCs/>
          <w:highlight w:val="none"/>
        </w:rPr>
        <w:t>U</w:t>
      </w:r>
      <w:r>
        <w:rPr>
          <w:highlight w:val="none"/>
        </w:rPr>
        <w:t xml:space="preserve"> </w:t>
      </w:r>
      <w:r>
        <w:rPr>
          <w:rFonts w:hint="eastAsia"/>
          <w:highlight w:val="none"/>
        </w:rPr>
        <w:t>=</w:t>
      </w:r>
      <w:r>
        <w:rPr>
          <w:highlight w:val="none"/>
        </w:rPr>
        <w:t xml:space="preserve"> </w:t>
      </w:r>
      <w:r>
        <w:rPr>
          <w:rFonts w:hint="eastAsia"/>
          <w:highlight w:val="none"/>
        </w:rPr>
        <w:t xml:space="preserve">0.4 </w:t>
      </w:r>
      <w:r>
        <w:rPr>
          <w:rFonts w:hint="eastAsia"/>
          <w:szCs w:val="21"/>
          <w:highlight w:val="none"/>
        </w:rPr>
        <w:t>(</w:t>
      </w:r>
      <w:r>
        <w:rPr>
          <w:rFonts w:hint="eastAsia"/>
          <w:i/>
          <w:szCs w:val="21"/>
          <w:highlight w:val="none"/>
        </w:rPr>
        <w:t>k</w:t>
      </w:r>
      <w:r>
        <w:rPr>
          <w:rFonts w:hint="eastAsia"/>
          <w:szCs w:val="21"/>
          <w:highlight w:val="none"/>
        </w:rPr>
        <w:t>=2)</w:t>
      </w:r>
      <w:r>
        <w:rPr>
          <w:rFonts w:hint="eastAsia"/>
          <w:highlight w:val="none"/>
        </w:rPr>
        <w:t>。</w:t>
      </w:r>
    </w:p>
    <w:p w14:paraId="361AC69F">
      <w:pPr>
        <w:rPr>
          <w:rFonts w:hint="eastAsia" w:asciiTheme="minorEastAsia" w:hAnsiTheme="minorEastAsia"/>
          <w:highlight w:val="none"/>
        </w:rPr>
      </w:pPr>
      <w:r>
        <w:rPr>
          <w:rFonts w:hint="eastAsia"/>
          <w:highlight w:val="none"/>
        </w:rPr>
        <w:t>5</w:t>
      </w:r>
      <w:r>
        <w:rPr>
          <w:highlight w:val="none"/>
        </w:rPr>
        <w:t>.2 特殊显色指数</w:t>
      </w:r>
      <w:r>
        <w:rPr>
          <w:i/>
          <w:iCs/>
          <w:highlight w:val="none"/>
        </w:rPr>
        <w:t>R</w:t>
      </w:r>
      <w:r>
        <w:rPr>
          <w:i/>
          <w:iCs/>
          <w:highlight w:val="none"/>
          <w:vertAlign w:val="subscript"/>
        </w:rPr>
        <w:t>i</w:t>
      </w:r>
      <w:r>
        <w:rPr>
          <w:rFonts w:hint="eastAsia"/>
          <w:highlight w:val="none"/>
        </w:rPr>
        <w:t>：</w:t>
      </w:r>
      <w:r>
        <w:rPr>
          <w:rFonts w:hint="eastAsia"/>
          <w:i/>
          <w:iCs/>
          <w:highlight w:val="none"/>
        </w:rPr>
        <w:t>U</w:t>
      </w:r>
      <w:r>
        <w:rPr>
          <w:highlight w:val="none"/>
        </w:rPr>
        <w:t xml:space="preserve"> </w:t>
      </w:r>
      <w:r>
        <w:rPr>
          <w:rFonts w:hint="eastAsia"/>
          <w:highlight w:val="none"/>
        </w:rPr>
        <w:t>=</w:t>
      </w:r>
      <w:r>
        <w:rPr>
          <w:highlight w:val="none"/>
        </w:rPr>
        <w:t xml:space="preserve"> </w:t>
      </w:r>
      <w:r>
        <w:rPr>
          <w:rFonts w:hint="eastAsia"/>
          <w:highlight w:val="none"/>
        </w:rPr>
        <w:t xml:space="preserve">1 </w:t>
      </w:r>
      <w:r>
        <w:rPr>
          <w:rFonts w:hint="eastAsia"/>
          <w:szCs w:val="21"/>
          <w:highlight w:val="none"/>
        </w:rPr>
        <w:t>(</w:t>
      </w:r>
      <w:r>
        <w:rPr>
          <w:rFonts w:hint="eastAsia"/>
          <w:i/>
          <w:szCs w:val="21"/>
          <w:highlight w:val="none"/>
        </w:rPr>
        <w:t>k</w:t>
      </w:r>
      <w:r>
        <w:rPr>
          <w:rFonts w:hint="eastAsia"/>
          <w:szCs w:val="21"/>
          <w:highlight w:val="none"/>
        </w:rPr>
        <w:t>=2)</w:t>
      </w:r>
      <w:r>
        <w:rPr>
          <w:rFonts w:hint="eastAsia"/>
          <w:highlight w:val="none"/>
        </w:rPr>
        <w:t>。</w:t>
      </w:r>
    </w:p>
    <w:p w14:paraId="6AFCC1A5">
      <w:pPr>
        <w:pStyle w:val="15"/>
        <w:rPr>
          <w:highlight w:val="none"/>
        </w:rPr>
      </w:pPr>
      <w:bookmarkStart w:id="17" w:name="_Toc156381361"/>
      <w:r>
        <w:rPr>
          <w:rFonts w:hint="eastAsia"/>
          <w:highlight w:val="none"/>
        </w:rPr>
        <w:t>6</w:t>
      </w:r>
      <w:r>
        <w:rPr>
          <w:highlight w:val="none"/>
        </w:rPr>
        <w:t xml:space="preserve"> 校准条件</w:t>
      </w:r>
      <w:bookmarkEnd w:id="17"/>
    </w:p>
    <w:p w14:paraId="7D9DB74C">
      <w:pPr>
        <w:pStyle w:val="17"/>
        <w:rPr>
          <w:rFonts w:hint="eastAsia"/>
          <w:highlight w:val="none"/>
        </w:rPr>
      </w:pPr>
      <w:bookmarkStart w:id="18" w:name="_Toc29783"/>
      <w:bookmarkStart w:id="19" w:name="_Toc156381362"/>
      <w:bookmarkStart w:id="20" w:name="_Toc519778265"/>
      <w:r>
        <w:rPr>
          <w:highlight w:val="none"/>
        </w:rPr>
        <w:t>6.1 环境条件</w:t>
      </w:r>
      <w:bookmarkEnd w:id="18"/>
      <w:bookmarkEnd w:id="19"/>
      <w:bookmarkEnd w:id="20"/>
    </w:p>
    <w:p w14:paraId="4E4C02A4">
      <w:pPr>
        <w:spacing w:line="276" w:lineRule="auto"/>
        <w:ind w:firstLine="480" w:firstLineChars="200"/>
        <w:rPr>
          <w:szCs w:val="21"/>
          <w:highlight w:val="none"/>
        </w:rPr>
      </w:pPr>
      <w:bookmarkStart w:id="21" w:name="_Toc519778266"/>
      <w:bookmarkStart w:id="22" w:name="_Toc31422"/>
      <w:r>
        <w:rPr>
          <w:szCs w:val="21"/>
          <w:highlight w:val="none"/>
        </w:rPr>
        <w:t>温度</w:t>
      </w:r>
      <w:r>
        <w:rPr>
          <w:rFonts w:hint="eastAsia"/>
          <w:szCs w:val="21"/>
          <w:highlight w:val="none"/>
        </w:rPr>
        <w:t>：</w:t>
      </w:r>
      <w:r>
        <w:rPr>
          <w:szCs w:val="21"/>
          <w:highlight w:val="none"/>
        </w:rPr>
        <w:t>（23</w:t>
      </w:r>
      <w:r>
        <w:rPr>
          <w:szCs w:val="21"/>
          <w:highlight w:val="none"/>
        </w:rPr>
        <w:sym w:font="Symbol" w:char="F0B1"/>
      </w:r>
      <w:r>
        <w:rPr>
          <w:szCs w:val="21"/>
          <w:highlight w:val="none"/>
        </w:rPr>
        <w:t>5）℃，在测量过程中</w:t>
      </w:r>
      <w:r>
        <w:rPr>
          <w:rFonts w:hint="eastAsia"/>
          <w:szCs w:val="21"/>
          <w:highlight w:val="none"/>
        </w:rPr>
        <w:t>，</w:t>
      </w:r>
      <w:r>
        <w:rPr>
          <w:szCs w:val="21"/>
          <w:highlight w:val="none"/>
        </w:rPr>
        <w:t>变化不大于3℃</w:t>
      </w:r>
      <w:r>
        <w:rPr>
          <w:rFonts w:hint="eastAsia"/>
          <w:szCs w:val="21"/>
          <w:highlight w:val="none"/>
        </w:rPr>
        <w:t>；</w:t>
      </w:r>
    </w:p>
    <w:p w14:paraId="550E30C8">
      <w:pPr>
        <w:spacing w:line="276" w:lineRule="auto"/>
        <w:ind w:firstLine="480" w:firstLineChars="200"/>
        <w:rPr>
          <w:szCs w:val="21"/>
          <w:highlight w:val="none"/>
        </w:rPr>
      </w:pPr>
      <w:r>
        <w:rPr>
          <w:szCs w:val="21"/>
          <w:highlight w:val="none"/>
        </w:rPr>
        <w:t>相对湿度：≤85%</w:t>
      </w:r>
      <w:r>
        <w:rPr>
          <w:rFonts w:hint="eastAsia"/>
          <w:szCs w:val="21"/>
          <w:highlight w:val="none"/>
        </w:rPr>
        <w:t>；</w:t>
      </w:r>
    </w:p>
    <w:p w14:paraId="1C725561">
      <w:pPr>
        <w:spacing w:line="276" w:lineRule="auto"/>
        <w:ind w:firstLine="480" w:firstLineChars="200"/>
        <w:rPr>
          <w:szCs w:val="21"/>
          <w:highlight w:val="none"/>
        </w:rPr>
      </w:pPr>
      <w:r>
        <w:rPr>
          <w:rFonts w:hint="eastAsia"/>
          <w:highlight w:val="none"/>
        </w:rPr>
        <w:t>实验室应为暗室，室内不应有</w:t>
      </w:r>
      <w:r>
        <w:rPr>
          <w:highlight w:val="none"/>
        </w:rPr>
        <w:t>影响仪器正常工作的粉尘、腐蚀性气体</w:t>
      </w:r>
      <w:r>
        <w:rPr>
          <w:rFonts w:hint="eastAsia"/>
          <w:highlight w:val="none"/>
        </w:rPr>
        <w:t>、</w:t>
      </w:r>
      <w:r>
        <w:rPr>
          <w:highlight w:val="none"/>
        </w:rPr>
        <w:t>震动和电磁场干扰</w:t>
      </w:r>
      <w:r>
        <w:rPr>
          <w:rFonts w:hint="eastAsia"/>
          <w:szCs w:val="21"/>
          <w:highlight w:val="none"/>
        </w:rPr>
        <w:t>。</w:t>
      </w:r>
    </w:p>
    <w:p w14:paraId="0CB4E4CD">
      <w:pPr>
        <w:pStyle w:val="17"/>
        <w:rPr>
          <w:rFonts w:hint="eastAsia"/>
          <w:highlight w:val="none"/>
        </w:rPr>
      </w:pPr>
      <w:bookmarkStart w:id="23" w:name="_Toc156381363"/>
      <w:r>
        <w:rPr>
          <w:highlight w:val="none"/>
        </w:rPr>
        <w:t>6.2 测量标准及其他设备</w:t>
      </w:r>
      <w:bookmarkEnd w:id="21"/>
      <w:bookmarkEnd w:id="22"/>
      <w:bookmarkEnd w:id="23"/>
    </w:p>
    <w:p w14:paraId="116A39F7">
      <w:pPr>
        <w:spacing w:line="276" w:lineRule="auto"/>
        <w:rPr>
          <w:rFonts w:eastAsia="宋体"/>
          <w:highlight w:val="none"/>
        </w:rPr>
      </w:pPr>
      <w:r>
        <w:rPr>
          <w:rFonts w:eastAsia="宋体"/>
          <w:highlight w:val="none"/>
        </w:rPr>
        <w:t xml:space="preserve">6.2.1 </w:t>
      </w:r>
      <w:r>
        <w:rPr>
          <w:rFonts w:hint="eastAsia" w:eastAsia="宋体"/>
          <w:highlight w:val="none"/>
        </w:rPr>
        <w:t>标准光源</w:t>
      </w:r>
    </w:p>
    <w:p w14:paraId="70B72C8B">
      <w:pPr>
        <w:spacing w:line="276" w:lineRule="auto"/>
        <w:ind w:firstLine="480" w:firstLineChars="200"/>
        <w:rPr>
          <w:rStyle w:val="20"/>
          <w:rFonts w:hint="default" w:ascii="Times New Roman" w:hAnsi="Times New Roman"/>
          <w:highlight w:val="none"/>
        </w:rPr>
      </w:pPr>
      <w:r>
        <w:rPr>
          <w:rStyle w:val="20"/>
          <w:rFonts w:hint="default" w:ascii="Times New Roman" w:hAnsi="Times New Roman"/>
          <w:highlight w:val="none"/>
        </w:rPr>
        <w:t>A) 显色指数标准灯</w:t>
      </w:r>
    </w:p>
    <w:p w14:paraId="6D3EE6DE">
      <w:pPr>
        <w:spacing w:line="276" w:lineRule="auto"/>
        <w:ind w:firstLine="480" w:firstLineChars="200"/>
        <w:rPr>
          <w:rStyle w:val="20"/>
          <w:rFonts w:hint="default" w:ascii="Times New Roman" w:hAnsi="Times New Roman"/>
          <w:highlight w:val="none"/>
        </w:rPr>
      </w:pPr>
      <w:r>
        <w:rPr>
          <w:rStyle w:val="20"/>
          <w:rFonts w:hint="default" w:ascii="Times New Roman" w:hAnsi="Times New Roman"/>
          <w:highlight w:val="none"/>
        </w:rPr>
        <w:t>由一组显色指数标准灯构成，灯组内各只灯的</w:t>
      </w:r>
      <w:r>
        <w:rPr>
          <w:rFonts w:hint="eastAsia"/>
          <w:i/>
          <w:iCs/>
          <w:highlight w:val="none"/>
        </w:rPr>
        <w:t>R</w:t>
      </w:r>
      <w:r>
        <w:rPr>
          <w:rFonts w:hint="eastAsia"/>
          <w:highlight w:val="none"/>
          <w:vertAlign w:val="subscript"/>
        </w:rPr>
        <w:t>a</w:t>
      </w:r>
      <w:r>
        <w:rPr>
          <w:rStyle w:val="20"/>
          <w:rFonts w:hint="default" w:ascii="Times New Roman" w:hAnsi="Times New Roman"/>
          <w:highlight w:val="none"/>
        </w:rPr>
        <w:t>可覆盖20~95的范围，其中分别在</w:t>
      </w:r>
      <w:r>
        <w:rPr>
          <w:rFonts w:hint="eastAsia"/>
          <w:i/>
          <w:iCs/>
          <w:highlight w:val="none"/>
        </w:rPr>
        <w:t>R</w:t>
      </w:r>
      <w:r>
        <w:rPr>
          <w:rFonts w:hint="eastAsia"/>
          <w:highlight w:val="none"/>
          <w:vertAlign w:val="subscript"/>
        </w:rPr>
        <w:t>a</w:t>
      </w:r>
      <w:r>
        <w:rPr>
          <w:rFonts w:hint="eastAsia"/>
          <w:highlight w:val="none"/>
        </w:rPr>
        <w:t xml:space="preserve">&lt;40, 40 </w:t>
      </w:r>
      <w:r>
        <w:rPr>
          <w:highlight w:val="none"/>
        </w:rPr>
        <w:t>≤</w:t>
      </w:r>
      <w:r>
        <w:rPr>
          <w:rFonts w:hint="eastAsia"/>
          <w:i/>
          <w:iCs/>
          <w:highlight w:val="none"/>
        </w:rPr>
        <w:t>R</w:t>
      </w:r>
      <w:r>
        <w:rPr>
          <w:rFonts w:hint="eastAsia"/>
          <w:highlight w:val="none"/>
          <w:vertAlign w:val="subscript"/>
        </w:rPr>
        <w:t>a</w:t>
      </w:r>
      <w:r>
        <w:rPr>
          <w:rFonts w:hint="eastAsia"/>
          <w:highlight w:val="none"/>
        </w:rPr>
        <w:t xml:space="preserve">&lt;60, 60 </w:t>
      </w:r>
      <w:r>
        <w:rPr>
          <w:highlight w:val="none"/>
        </w:rPr>
        <w:t>≤</w:t>
      </w:r>
      <w:r>
        <w:rPr>
          <w:rFonts w:hint="eastAsia"/>
          <w:i/>
          <w:iCs/>
          <w:highlight w:val="none"/>
        </w:rPr>
        <w:t>R</w:t>
      </w:r>
      <w:r>
        <w:rPr>
          <w:rFonts w:hint="eastAsia"/>
          <w:highlight w:val="none"/>
          <w:vertAlign w:val="subscript"/>
        </w:rPr>
        <w:t>a</w:t>
      </w:r>
      <w:r>
        <w:rPr>
          <w:rFonts w:hint="eastAsia"/>
          <w:highlight w:val="none"/>
        </w:rPr>
        <w:t xml:space="preserve">&lt;80, 80 </w:t>
      </w:r>
      <w:r>
        <w:rPr>
          <w:highlight w:val="none"/>
        </w:rPr>
        <w:t>≤</w:t>
      </w:r>
      <w:r>
        <w:rPr>
          <w:rFonts w:hint="eastAsia"/>
          <w:i/>
          <w:iCs/>
          <w:highlight w:val="none"/>
        </w:rPr>
        <w:t>R</w:t>
      </w:r>
      <w:r>
        <w:rPr>
          <w:rFonts w:hint="eastAsia"/>
          <w:highlight w:val="none"/>
          <w:vertAlign w:val="subscript"/>
        </w:rPr>
        <w:t>a</w:t>
      </w:r>
      <w:r>
        <w:rPr>
          <w:rFonts w:hint="eastAsia"/>
          <w:highlight w:val="none"/>
        </w:rPr>
        <w:t>&lt;90和</w:t>
      </w:r>
      <w:r>
        <w:rPr>
          <w:rFonts w:hint="eastAsia"/>
          <w:i/>
          <w:iCs/>
          <w:highlight w:val="none"/>
        </w:rPr>
        <w:t>R</w:t>
      </w:r>
      <w:r>
        <w:rPr>
          <w:rFonts w:hint="eastAsia"/>
          <w:highlight w:val="none"/>
          <w:vertAlign w:val="subscript"/>
        </w:rPr>
        <w:t>a</w:t>
      </w:r>
      <w:r>
        <w:rPr>
          <w:highlight w:val="none"/>
        </w:rPr>
        <w:t>≥</w:t>
      </w:r>
      <w:r>
        <w:rPr>
          <w:rFonts w:hint="eastAsia"/>
          <w:highlight w:val="none"/>
        </w:rPr>
        <w:t>90范围内均有分布。且相关色温覆盖2700K，4100K和6500K。</w:t>
      </w:r>
    </w:p>
    <w:p w14:paraId="0D99A498">
      <w:pPr>
        <w:spacing w:line="276" w:lineRule="auto"/>
        <w:ind w:firstLine="480" w:firstLineChars="200"/>
        <w:rPr>
          <w:rStyle w:val="20"/>
          <w:rFonts w:hint="default" w:ascii="Times New Roman" w:hAnsi="Times New Roman"/>
          <w:highlight w:val="none"/>
        </w:rPr>
      </w:pPr>
      <w:r>
        <w:rPr>
          <w:rStyle w:val="20"/>
          <w:rFonts w:hint="default" w:ascii="Times New Roman" w:hAnsi="Times New Roman"/>
          <w:highlight w:val="none"/>
        </w:rPr>
        <w:t>或由显色指数调节范围可覆盖20~95的标准光源构成。</w:t>
      </w:r>
    </w:p>
    <w:p w14:paraId="25911DF7">
      <w:pPr>
        <w:spacing w:line="276" w:lineRule="auto"/>
        <w:ind w:firstLine="480" w:firstLineChars="200"/>
        <w:rPr>
          <w:rStyle w:val="20"/>
          <w:rFonts w:hint="default" w:ascii="Times New Roman" w:hAnsi="Times New Roman"/>
          <w:highlight w:val="none"/>
        </w:rPr>
      </w:pPr>
      <w:r>
        <w:rPr>
          <w:rStyle w:val="20"/>
          <w:rFonts w:hint="default" w:ascii="Times New Roman" w:hAnsi="Times New Roman"/>
          <w:highlight w:val="none"/>
        </w:rPr>
        <w:t>B) 色温标准灯</w:t>
      </w:r>
    </w:p>
    <w:p w14:paraId="76133F10">
      <w:pPr>
        <w:spacing w:line="276" w:lineRule="auto"/>
        <w:ind w:firstLine="480" w:firstLineChars="200"/>
        <w:rPr>
          <w:rStyle w:val="20"/>
          <w:rFonts w:hint="default" w:ascii="Times New Roman" w:hAnsi="Times New Roman"/>
          <w:highlight w:val="none"/>
        </w:rPr>
      </w:pPr>
      <w:r>
        <w:rPr>
          <w:rStyle w:val="20"/>
          <w:rFonts w:hint="default" w:ascii="Times New Roman" w:hAnsi="Times New Roman"/>
          <w:highlight w:val="none"/>
        </w:rPr>
        <w:t>由不少于3只、不低于二级的色温标准灯构成。</w:t>
      </w:r>
    </w:p>
    <w:p w14:paraId="4183A5C0">
      <w:pPr>
        <w:spacing w:line="276" w:lineRule="auto"/>
        <w:ind w:firstLine="480" w:firstLineChars="200"/>
        <w:rPr>
          <w:rStyle w:val="20"/>
          <w:rFonts w:hint="default" w:ascii="Times New Roman" w:hAnsi="Times New Roman"/>
          <w:highlight w:val="none"/>
        </w:rPr>
      </w:pPr>
      <w:r>
        <w:rPr>
          <w:rStyle w:val="20"/>
          <w:rFonts w:hint="default" w:ascii="Times New Roman" w:hAnsi="Times New Roman"/>
          <w:highlight w:val="none"/>
        </w:rPr>
        <w:t>C) 平均颜色温度标准灯</w:t>
      </w:r>
    </w:p>
    <w:p w14:paraId="333E7666">
      <w:pPr>
        <w:spacing w:line="276" w:lineRule="auto"/>
        <w:ind w:firstLine="480" w:firstLineChars="200"/>
        <w:rPr>
          <w:highlight w:val="none"/>
        </w:rPr>
      </w:pPr>
      <w:r>
        <w:rPr>
          <w:rStyle w:val="20"/>
          <w:rFonts w:hint="default" w:ascii="Times New Roman" w:hAnsi="Times New Roman"/>
          <w:highlight w:val="none"/>
        </w:rPr>
        <w:t>由不少于3只平均颜色标准灯组成，额定平均颜色温度在(2700～3000) K间，灯组内各灯之间的颜色温度偏差应小于4 K，扩展不确定度</w:t>
      </w:r>
      <w:r>
        <w:rPr>
          <w:rStyle w:val="20"/>
          <w:rFonts w:hint="default" w:ascii="Times New Roman" w:hAnsi="Times New Roman"/>
          <w:i/>
          <w:iCs/>
          <w:highlight w:val="none"/>
        </w:rPr>
        <w:t>U</w:t>
      </w:r>
      <w:r>
        <w:rPr>
          <w:rStyle w:val="20"/>
          <w:rFonts w:hint="default" w:ascii="Times New Roman" w:hAnsi="Times New Roman"/>
          <w:highlight w:val="none"/>
        </w:rPr>
        <w:t>≤12 K(</w:t>
      </w:r>
      <w:r>
        <w:rPr>
          <w:rStyle w:val="20"/>
          <w:rFonts w:hint="default" w:ascii="Times New Roman" w:hAnsi="Times New Roman"/>
          <w:i/>
          <w:iCs/>
          <w:highlight w:val="none"/>
        </w:rPr>
        <w:t>k</w:t>
      </w:r>
      <w:r>
        <w:rPr>
          <w:rStyle w:val="20"/>
          <w:rFonts w:hint="default" w:ascii="Times New Roman" w:hAnsi="Times New Roman"/>
          <w:highlight w:val="none"/>
        </w:rPr>
        <w:t>=2)</w:t>
      </w:r>
      <w:r>
        <w:rPr>
          <w:highlight w:val="none"/>
        </w:rPr>
        <w:t>。</w:t>
      </w:r>
    </w:p>
    <w:p w14:paraId="58CFE4CD">
      <w:pPr>
        <w:spacing w:line="276" w:lineRule="auto"/>
        <w:rPr>
          <w:highlight w:val="none"/>
        </w:rPr>
      </w:pPr>
      <w:r>
        <w:rPr>
          <w:highlight w:val="none"/>
        </w:rPr>
        <w:t xml:space="preserve">6.2.2 </w:t>
      </w:r>
      <w:r>
        <w:rPr>
          <w:rFonts w:hint="eastAsia"/>
          <w:highlight w:val="none"/>
        </w:rPr>
        <w:t>光谱辐射计</w:t>
      </w:r>
    </w:p>
    <w:p w14:paraId="06334B68">
      <w:pPr>
        <w:spacing w:line="276" w:lineRule="auto"/>
        <w:ind w:firstLine="480" w:firstLineChars="200"/>
        <w:rPr>
          <w:highlight w:val="none"/>
        </w:rPr>
      </w:pPr>
      <w:r>
        <w:rPr>
          <w:rFonts w:hint="eastAsia"/>
          <w:highlight w:val="none"/>
        </w:rPr>
        <w:t>最小输出带宽≤</w:t>
      </w:r>
      <w:r>
        <w:rPr>
          <w:highlight w:val="none"/>
        </w:rPr>
        <w:t xml:space="preserve">2 </w:t>
      </w:r>
      <w:r>
        <w:rPr>
          <w:rFonts w:hint="eastAsia"/>
          <w:highlight w:val="none"/>
        </w:rPr>
        <w:t>nm，最小采样间隔≤</w:t>
      </w:r>
      <w:r>
        <w:rPr>
          <w:highlight w:val="none"/>
        </w:rPr>
        <w:t>2</w:t>
      </w:r>
      <w:r>
        <w:rPr>
          <w:rFonts w:hint="eastAsia"/>
          <w:highlight w:val="none"/>
        </w:rPr>
        <w:t xml:space="preserve"> nm，波长示值最大允许误差为±0.</w:t>
      </w:r>
      <w:r>
        <w:rPr>
          <w:highlight w:val="none"/>
        </w:rPr>
        <w:t xml:space="preserve">3 </w:t>
      </w:r>
      <w:r>
        <w:rPr>
          <w:rFonts w:hint="eastAsia"/>
          <w:highlight w:val="none"/>
        </w:rPr>
        <w:t>nm，波长范围不小于（380～780）nm，非线性误差&lt;1</w:t>
      </w:r>
      <w:r>
        <w:rPr>
          <w:highlight w:val="none"/>
        </w:rPr>
        <w:t>.0</w:t>
      </w:r>
      <w:r>
        <w:rPr>
          <w:rFonts w:hint="eastAsia"/>
          <w:highlight w:val="none"/>
        </w:rPr>
        <w:t>%。</w:t>
      </w:r>
    </w:p>
    <w:p w14:paraId="4727506F">
      <w:pPr>
        <w:spacing w:line="276" w:lineRule="auto"/>
        <w:rPr>
          <w:highlight w:val="none"/>
        </w:rPr>
      </w:pPr>
      <w:r>
        <w:rPr>
          <w:highlight w:val="none"/>
        </w:rPr>
        <w:t xml:space="preserve">6.2.3 </w:t>
      </w:r>
      <w:r>
        <w:rPr>
          <w:rFonts w:hint="eastAsia"/>
          <w:highlight w:val="none"/>
        </w:rPr>
        <w:t>采用光轨的显色指数测量装置</w:t>
      </w:r>
    </w:p>
    <w:p w14:paraId="32694306">
      <w:pPr>
        <w:ind w:firstLine="480" w:firstLineChars="200"/>
        <w:rPr>
          <w:highlight w:val="none"/>
        </w:rPr>
      </w:pPr>
      <w:r>
        <w:rPr>
          <w:rStyle w:val="20"/>
          <w:rFonts w:hint="default"/>
          <w:highlight w:val="none"/>
        </w:rPr>
        <w:t>由光轨及滑车、灯架、转台、灯丝平面调整仪、光阑等组成。光轨长度应大于</w:t>
      </w:r>
      <w:r>
        <w:rPr>
          <w:rStyle w:val="21"/>
          <w:highlight w:val="none"/>
        </w:rPr>
        <w:t>3 m</w:t>
      </w:r>
      <w:r>
        <w:rPr>
          <w:rStyle w:val="20"/>
          <w:rFonts w:hint="default"/>
          <w:highlight w:val="none"/>
        </w:rPr>
        <w:t>，光轨直线度最大允许误差</w:t>
      </w:r>
      <w:r>
        <w:rPr>
          <w:rStyle w:val="22"/>
          <w:rFonts w:hint="default"/>
          <w:highlight w:val="none"/>
        </w:rPr>
        <w:t>±</w:t>
      </w:r>
      <w:r>
        <w:rPr>
          <w:rStyle w:val="21"/>
          <w:highlight w:val="none"/>
        </w:rPr>
        <w:t>2 mm</w:t>
      </w:r>
      <w:r>
        <w:rPr>
          <w:rStyle w:val="20"/>
          <w:rFonts w:hint="default"/>
          <w:highlight w:val="none"/>
        </w:rPr>
        <w:t>，标尺间隔最大允许误差</w:t>
      </w:r>
      <w:r>
        <w:rPr>
          <w:rStyle w:val="22"/>
          <w:rFonts w:hint="default"/>
          <w:highlight w:val="none"/>
        </w:rPr>
        <w:t>±</w:t>
      </w:r>
      <w:r>
        <w:rPr>
          <w:rStyle w:val="21"/>
          <w:highlight w:val="none"/>
        </w:rPr>
        <w:t>0.2 mm/m</w:t>
      </w:r>
      <w:r>
        <w:rPr>
          <w:highlight w:val="none"/>
        </w:rPr>
        <w:t>。</w:t>
      </w:r>
      <w:r>
        <w:rPr>
          <w:rFonts w:hint="eastAsia"/>
          <w:highlight w:val="none"/>
        </w:rPr>
        <w:t>采用光轨的光源显色指数测量装置如图1。</w:t>
      </w:r>
    </w:p>
    <w:p w14:paraId="3F608C78">
      <w:pPr>
        <w:keepNext/>
        <w:spacing w:line="276" w:lineRule="auto"/>
        <w:jc w:val="center"/>
        <w:rPr>
          <w:highlight w:val="none"/>
        </w:rPr>
      </w:pPr>
      <w:r>
        <w:rPr>
          <w:highlight w:val="none"/>
        </w:rPr>
        <w:object>
          <v:shape id="_x0000_i1025" o:spt="75" type="#_x0000_t75" style="height:67.2pt;width:311.4pt;" o:ole="t" filled="f" o:preferrelative="t" stroked="f" coordsize="21600,21600">
            <v:path/>
            <v:fill on="f" focussize="0,0"/>
            <v:stroke on="f" joinstyle="miter"/>
            <v:imagedata r:id="rId18" o:title=""/>
            <o:lock v:ext="edit" aspectratio="t"/>
            <w10:wrap type="none"/>
            <w10:anchorlock/>
          </v:shape>
          <o:OLEObject Type="Embed" ProgID="Visio.Drawing.11" ShapeID="_x0000_i1025" DrawAspect="Content" ObjectID="_1468075725" r:id="rId17">
            <o:LockedField>false</o:LockedField>
          </o:OLEObject>
        </w:object>
      </w:r>
    </w:p>
    <w:p w14:paraId="75F9AF08">
      <w:pPr>
        <w:pStyle w:val="3"/>
        <w:jc w:val="center"/>
        <w:rPr>
          <w:highlight w:val="none"/>
        </w:rPr>
      </w:pPr>
      <w:r>
        <w:rPr>
          <w:rFonts w:hint="eastAsia"/>
          <w:highlight w:val="none"/>
        </w:rPr>
        <w:t xml:space="preserve">图 </w:t>
      </w:r>
      <w:r>
        <w:rPr>
          <w:highlight w:val="none"/>
        </w:rPr>
        <w:fldChar w:fldCharType="begin"/>
      </w:r>
      <w:r>
        <w:rPr>
          <w:highlight w:val="none"/>
        </w:rPr>
        <w:instrText xml:space="preserve"> </w:instrText>
      </w:r>
      <w:r>
        <w:rPr>
          <w:rFonts w:hint="eastAsia"/>
          <w:highlight w:val="none"/>
        </w:rPr>
        <w:instrText xml:space="preserve">SEQ 图 \* ARABIC</w:instrText>
      </w:r>
      <w:r>
        <w:rPr>
          <w:highlight w:val="none"/>
        </w:rPr>
        <w:instrText xml:space="preserve"> </w:instrText>
      </w:r>
      <w:r>
        <w:rPr>
          <w:highlight w:val="none"/>
        </w:rPr>
        <w:fldChar w:fldCharType="separate"/>
      </w:r>
      <w:r>
        <w:rPr>
          <w:highlight w:val="none"/>
        </w:rPr>
        <w:t>1</w:t>
      </w:r>
      <w:r>
        <w:rPr>
          <w:highlight w:val="none"/>
        </w:rPr>
        <w:fldChar w:fldCharType="end"/>
      </w:r>
      <w:r>
        <w:rPr>
          <w:highlight w:val="none"/>
        </w:rPr>
        <w:t xml:space="preserve"> </w:t>
      </w:r>
      <w:r>
        <w:rPr>
          <w:rFonts w:hint="eastAsia"/>
          <w:highlight w:val="none"/>
        </w:rPr>
        <w:t>采用光轨的显色指数测量装置</w:t>
      </w:r>
    </w:p>
    <w:p w14:paraId="328EB806">
      <w:pPr>
        <w:spacing w:line="276" w:lineRule="auto"/>
        <w:rPr>
          <w:highlight w:val="none"/>
        </w:rPr>
      </w:pPr>
      <w:r>
        <w:rPr>
          <w:highlight w:val="none"/>
        </w:rPr>
        <w:t xml:space="preserve">6.2.4 </w:t>
      </w:r>
      <w:r>
        <w:rPr>
          <w:rFonts w:hint="eastAsia"/>
          <w:highlight w:val="none"/>
        </w:rPr>
        <w:t>采用积分球的显色指数测量装置</w:t>
      </w:r>
    </w:p>
    <w:p w14:paraId="1B93C7B7">
      <w:pPr>
        <w:spacing w:line="276" w:lineRule="auto"/>
        <w:ind w:firstLine="480" w:firstLineChars="200"/>
        <w:rPr>
          <w:highlight w:val="none"/>
        </w:rPr>
      </w:pPr>
      <w:r>
        <w:rPr>
          <w:rFonts w:hint="eastAsia"/>
          <w:highlight w:val="none"/>
        </w:rPr>
        <w:t>球壳内表面应为一完整球面，不应有裂痕和凹凸不平等缺陷。球的内壁和球内物件如挡屏、导线、灯座等应涂有白色漫反射材料，且物件表面积和数量应减小到最少。积分球的赤道线上有一个窗口，嵌一块漫透射良好的平面余弦校正器。挡屏应使光源不能直接照射到窗口，其中心处在球心与窗口中心的连线上，且挡屏表面应与此连线垂直。积分球的尺寸相对于被测灯应足够大，被测灯总表面积不应超过积分球内壁面积的2%，相当于立方体被测灯边长为</w:t>
      </w:r>
      <w:bookmarkStart w:id="58" w:name="_GoBack"/>
      <w:bookmarkEnd w:id="58"/>
      <w:r>
        <w:rPr>
          <w:rFonts w:hint="eastAsia"/>
          <w:highlight w:val="none"/>
        </w:rPr>
        <w:t>积分球直径的1/</w:t>
      </w:r>
      <w:r>
        <w:rPr>
          <w:highlight w:val="none"/>
        </w:rPr>
        <w:t>10</w:t>
      </w:r>
      <w:r>
        <w:rPr>
          <w:rFonts w:hint="eastAsia"/>
          <w:highlight w:val="none"/>
        </w:rPr>
        <w:t>。对于管装或条状灯，积分球直径应为被测灯长度的1</w:t>
      </w:r>
      <w:r>
        <w:rPr>
          <w:highlight w:val="none"/>
        </w:rPr>
        <w:t>.5</w:t>
      </w:r>
      <w:r>
        <w:rPr>
          <w:rFonts w:hint="eastAsia"/>
          <w:highlight w:val="none"/>
        </w:rPr>
        <w:t>倍以上。</w:t>
      </w:r>
    </w:p>
    <w:p w14:paraId="493228B0">
      <w:pPr>
        <w:spacing w:line="276" w:lineRule="auto"/>
        <w:ind w:firstLine="480" w:firstLineChars="200"/>
        <w:rPr>
          <w:highlight w:val="none"/>
        </w:rPr>
      </w:pPr>
      <w:r>
        <w:rPr>
          <w:highlight w:val="none"/>
        </w:rPr>
        <w:t>光源、积分球</w:t>
      </w:r>
      <w:r>
        <w:rPr>
          <w:rFonts w:hint="eastAsia"/>
          <w:highlight w:val="none"/>
        </w:rPr>
        <w:t>、电测仪表</w:t>
      </w:r>
      <w:r>
        <w:rPr>
          <w:highlight w:val="none"/>
        </w:rPr>
        <w:t>和</w:t>
      </w:r>
      <w:r>
        <w:rPr>
          <w:rFonts w:hint="eastAsia"/>
          <w:highlight w:val="none"/>
        </w:rPr>
        <w:t>光谱辐射计</w:t>
      </w:r>
      <w:r>
        <w:rPr>
          <w:highlight w:val="none"/>
        </w:rPr>
        <w:t>组成的</w:t>
      </w:r>
      <w:r>
        <w:rPr>
          <w:rFonts w:hint="eastAsia"/>
          <w:highlight w:val="none"/>
        </w:rPr>
        <w:t>显色指数</w:t>
      </w:r>
      <w:r>
        <w:rPr>
          <w:highlight w:val="none"/>
        </w:rPr>
        <w:t>校准装置见图2</w:t>
      </w:r>
      <w:r>
        <w:rPr>
          <w:rFonts w:hint="eastAsia"/>
          <w:highlight w:val="none"/>
        </w:rPr>
        <w:t>。</w:t>
      </w:r>
    </w:p>
    <w:p w14:paraId="62922631">
      <w:pPr>
        <w:keepNext/>
        <w:jc w:val="center"/>
        <w:rPr>
          <w:highlight w:val="none"/>
        </w:rPr>
      </w:pPr>
      <w:r>
        <w:rPr>
          <w:highlight w:val="none"/>
        </w:rPr>
        <w:object>
          <v:shape id="_x0000_i1026" o:spt="75" type="#_x0000_t75" style="height:200.4pt;width:328.2pt;" o:ole="t" filled="f" o:preferrelative="t" stroked="f" coordsize="21600,21600">
            <v:path/>
            <v:fill on="f" focussize="0,0"/>
            <v:stroke on="f" joinstyle="miter"/>
            <v:imagedata r:id="rId20" o:title=""/>
            <o:lock v:ext="edit" aspectratio="t"/>
            <w10:wrap type="none"/>
            <w10:anchorlock/>
          </v:shape>
          <o:OLEObject Type="Embed" ProgID="Visio.Drawing.11" ShapeID="_x0000_i1026" DrawAspect="Content" ObjectID="_1468075726" r:id="rId19">
            <o:LockedField>false</o:LockedField>
          </o:OLEObject>
        </w:object>
      </w:r>
    </w:p>
    <w:p w14:paraId="229BC309">
      <w:pPr>
        <w:pStyle w:val="3"/>
        <w:jc w:val="center"/>
        <w:rPr>
          <w:highlight w:val="none"/>
        </w:rPr>
      </w:pPr>
      <w:r>
        <w:rPr>
          <w:rFonts w:hint="eastAsia"/>
          <w:highlight w:val="none"/>
        </w:rPr>
        <w:t xml:space="preserve">图 </w:t>
      </w:r>
      <w:r>
        <w:rPr>
          <w:highlight w:val="none"/>
        </w:rPr>
        <w:fldChar w:fldCharType="begin"/>
      </w:r>
      <w:r>
        <w:rPr>
          <w:highlight w:val="none"/>
        </w:rPr>
        <w:instrText xml:space="preserve"> </w:instrText>
      </w:r>
      <w:r>
        <w:rPr>
          <w:rFonts w:hint="eastAsia"/>
          <w:highlight w:val="none"/>
        </w:rPr>
        <w:instrText xml:space="preserve">SEQ 图 \* ARABIC</w:instrText>
      </w:r>
      <w:r>
        <w:rPr>
          <w:highlight w:val="none"/>
        </w:rPr>
        <w:instrText xml:space="preserve"> </w:instrText>
      </w:r>
      <w:r>
        <w:rPr>
          <w:highlight w:val="none"/>
        </w:rPr>
        <w:fldChar w:fldCharType="separate"/>
      </w:r>
      <w:r>
        <w:rPr>
          <w:highlight w:val="none"/>
        </w:rPr>
        <w:t>2</w:t>
      </w:r>
      <w:r>
        <w:rPr>
          <w:highlight w:val="none"/>
        </w:rPr>
        <w:fldChar w:fldCharType="end"/>
      </w:r>
      <w:r>
        <w:rPr>
          <w:rFonts w:hint="eastAsia"/>
          <w:highlight w:val="none"/>
        </w:rPr>
        <w:t xml:space="preserve"> 采用积分球的显色指数测量装置</w:t>
      </w:r>
    </w:p>
    <w:p w14:paraId="1DAEEAE1">
      <w:pPr>
        <w:spacing w:line="276" w:lineRule="auto"/>
        <w:rPr>
          <w:highlight w:val="none"/>
        </w:rPr>
      </w:pPr>
      <w:r>
        <w:rPr>
          <w:highlight w:val="none"/>
        </w:rPr>
        <w:t xml:space="preserve">6.2.5 </w:t>
      </w:r>
      <w:r>
        <w:rPr>
          <w:rFonts w:hint="eastAsia"/>
          <w:highlight w:val="none"/>
        </w:rPr>
        <w:t>供</w:t>
      </w:r>
      <w:r>
        <w:rPr>
          <w:rStyle w:val="20"/>
          <w:rFonts w:hint="default"/>
          <w:highlight w:val="none"/>
        </w:rPr>
        <w:t>电电源及电测仪表</w:t>
      </w:r>
    </w:p>
    <w:p w14:paraId="1BA130CA">
      <w:pPr>
        <w:widowControl/>
        <w:adjustRightInd w:val="0"/>
        <w:snapToGrid w:val="0"/>
        <w:spacing w:line="276" w:lineRule="auto"/>
        <w:ind w:firstLine="480" w:firstLineChars="200"/>
        <w:rPr>
          <w:highlight w:val="none"/>
        </w:rPr>
      </w:pPr>
      <w:bookmarkStart w:id="24" w:name="_Toc301161829"/>
      <w:r>
        <w:rPr>
          <w:rFonts w:hint="eastAsia"/>
          <w:highlight w:val="none"/>
        </w:rPr>
        <w:t>采用直流稳流/稳压电源或交流稳压电源供电，电源的最大输出电压和输出电流均应分别不小于工作电压和工作电流的1.2倍。直流稳流/稳压电源的电压电流连续可调</w:t>
      </w:r>
      <w:bookmarkStart w:id="25" w:name="_Hlk176509099"/>
      <w:r>
        <w:rPr>
          <w:rFonts w:hint="eastAsia"/>
          <w:highlight w:val="none"/>
        </w:rPr>
        <w:t>(0 V～150 V) / (0 A～20 A),</w:t>
      </w:r>
      <w:r>
        <w:rPr>
          <w:highlight w:val="none"/>
        </w:rPr>
        <w:t xml:space="preserve"> </w:t>
      </w:r>
      <w:r>
        <w:rPr>
          <w:rFonts w:hint="eastAsia"/>
          <w:highlight w:val="none"/>
        </w:rPr>
        <w:t>10 分钟</w:t>
      </w:r>
      <w:bookmarkEnd w:id="25"/>
      <w:r>
        <w:rPr>
          <w:rFonts w:hint="eastAsia"/>
          <w:highlight w:val="none"/>
        </w:rPr>
        <w:t>内输出电压变化应不大于0.02%，交流稳压电源</w:t>
      </w:r>
      <w:r>
        <w:rPr>
          <w:rFonts w:eastAsia="宋体"/>
          <w:kern w:val="0"/>
          <w:highlight w:val="none"/>
        </w:rPr>
        <w:t>10分钟内变化率不大于0.1 %</w:t>
      </w:r>
      <w:r>
        <w:rPr>
          <w:rFonts w:hint="eastAsia"/>
          <w:highlight w:val="none"/>
        </w:rPr>
        <w:t>。</w:t>
      </w:r>
    </w:p>
    <w:p w14:paraId="11D96797">
      <w:pPr>
        <w:widowControl/>
        <w:adjustRightInd w:val="0"/>
        <w:snapToGrid w:val="0"/>
        <w:spacing w:line="276" w:lineRule="auto"/>
        <w:ind w:firstLine="480" w:firstLineChars="200"/>
        <w:rPr>
          <w:highlight w:val="none"/>
        </w:rPr>
      </w:pPr>
      <w:r>
        <w:rPr>
          <w:rFonts w:hint="eastAsia"/>
          <w:highlight w:val="none"/>
        </w:rPr>
        <w:t>电测仪表：数字多用表最大允许误差</w:t>
      </w:r>
      <w:bookmarkStart w:id="26" w:name="_Hlk146264979"/>
      <w:r>
        <w:rPr>
          <w:rFonts w:hint="eastAsia"/>
          <w:highlight w:val="none"/>
        </w:rPr>
        <w:t>±0.02%</w:t>
      </w:r>
      <w:bookmarkEnd w:id="26"/>
      <w:r>
        <w:rPr>
          <w:rFonts w:hint="eastAsia"/>
          <w:highlight w:val="none"/>
        </w:rPr>
        <w:t>，数字功率表最大允差±0.</w:t>
      </w:r>
      <w:r>
        <w:rPr>
          <w:highlight w:val="none"/>
        </w:rPr>
        <w:t>1</w:t>
      </w:r>
      <w:r>
        <w:rPr>
          <w:rFonts w:hint="eastAsia"/>
          <w:highlight w:val="none"/>
        </w:rPr>
        <w:t>%，标准电阻应不低于0.02级。</w:t>
      </w:r>
    </w:p>
    <w:p w14:paraId="5C67B3CA">
      <w:pPr>
        <w:widowControl/>
        <w:adjustRightInd w:val="0"/>
        <w:snapToGrid w:val="0"/>
        <w:spacing w:line="276" w:lineRule="auto"/>
        <w:ind w:firstLine="480" w:firstLineChars="200"/>
        <w:rPr>
          <w:highlight w:val="none"/>
        </w:rPr>
      </w:pPr>
      <w:r>
        <w:rPr>
          <w:rFonts w:hint="eastAsia"/>
          <w:highlight w:val="none"/>
        </w:rPr>
        <w:t>灯电压需使用四线法连接测量，供电电源及电测仪表的接线方式见图3。</w:t>
      </w:r>
    </w:p>
    <w:p w14:paraId="239375BE">
      <w:pPr>
        <w:pStyle w:val="15"/>
        <w:jc w:val="center"/>
        <w:rPr>
          <w:highlight w:val="none"/>
        </w:rPr>
      </w:pPr>
      <w:bookmarkStart w:id="27" w:name="_Toc156381364"/>
      <w:r>
        <w:rPr>
          <w:highlight w:val="none"/>
        </w:rPr>
        <w:object>
          <v:shape id="_x0000_i1027" o:spt="75" type="#_x0000_t75" style="height:108.6pt;width:406.8pt;" o:ole="t" filled="f" o:preferrelative="t" stroked="f" coordsize="21600,21600">
            <v:path/>
            <v:fill on="f" focussize="0,0"/>
            <v:stroke on="f" joinstyle="miter"/>
            <v:imagedata r:id="rId22" o:title=""/>
            <o:lock v:ext="edit" aspectratio="t"/>
            <w10:wrap type="none"/>
            <w10:anchorlock/>
          </v:shape>
          <o:OLEObject Type="Embed" ProgID="Visio.Drawing.11" ShapeID="_x0000_i1027" DrawAspect="Content" ObjectID="_1468075727" r:id="rId21">
            <o:LockedField>false</o:LockedField>
          </o:OLEObject>
        </w:object>
      </w:r>
    </w:p>
    <w:p w14:paraId="7D169020">
      <w:pPr>
        <w:pStyle w:val="3"/>
        <w:jc w:val="center"/>
        <w:rPr>
          <w:sz w:val="21"/>
          <w:szCs w:val="21"/>
          <w:highlight w:val="none"/>
        </w:rPr>
      </w:pPr>
      <w:r>
        <w:rPr>
          <w:rFonts w:hint="eastAsia"/>
          <w:highlight w:val="none"/>
        </w:rPr>
        <w:t xml:space="preserve">图 </w:t>
      </w:r>
      <w:r>
        <w:rPr>
          <w:highlight w:val="none"/>
        </w:rPr>
        <w:fldChar w:fldCharType="begin"/>
      </w:r>
      <w:r>
        <w:rPr>
          <w:highlight w:val="none"/>
        </w:rPr>
        <w:instrText xml:space="preserve"> </w:instrText>
      </w:r>
      <w:r>
        <w:rPr>
          <w:rFonts w:hint="eastAsia"/>
          <w:highlight w:val="none"/>
        </w:rPr>
        <w:instrText xml:space="preserve">SEQ 图 \* ARABIC</w:instrText>
      </w:r>
      <w:r>
        <w:rPr>
          <w:highlight w:val="none"/>
        </w:rPr>
        <w:instrText xml:space="preserve"> </w:instrText>
      </w:r>
      <w:r>
        <w:rPr>
          <w:highlight w:val="none"/>
        </w:rPr>
        <w:fldChar w:fldCharType="separate"/>
      </w:r>
      <w:r>
        <w:rPr>
          <w:highlight w:val="none"/>
        </w:rPr>
        <w:t>3</w:t>
      </w:r>
      <w:r>
        <w:rPr>
          <w:highlight w:val="none"/>
        </w:rPr>
        <w:fldChar w:fldCharType="end"/>
      </w:r>
      <w:r>
        <w:rPr>
          <w:rFonts w:hint="eastAsia"/>
          <w:sz w:val="21"/>
          <w:szCs w:val="21"/>
          <w:highlight w:val="none"/>
        </w:rPr>
        <w:t>测量电路</w:t>
      </w:r>
      <w:bookmarkEnd w:id="27"/>
    </w:p>
    <w:p w14:paraId="315F793E">
      <w:pPr>
        <w:pStyle w:val="15"/>
        <w:rPr>
          <w:highlight w:val="none"/>
        </w:rPr>
      </w:pPr>
      <w:bookmarkStart w:id="28" w:name="_Toc156381365"/>
      <w:r>
        <w:rPr>
          <w:rFonts w:hint="eastAsia"/>
          <w:highlight w:val="none"/>
        </w:rPr>
        <w:t>7 校准项目和校准方法</w:t>
      </w:r>
      <w:bookmarkEnd w:id="24"/>
      <w:bookmarkEnd w:id="28"/>
    </w:p>
    <w:p w14:paraId="36BB1D42">
      <w:pPr>
        <w:pStyle w:val="17"/>
        <w:rPr>
          <w:rFonts w:ascii="Times New Roman" w:hAnsi="Times New Roman" w:cs="Times New Roman"/>
          <w:highlight w:val="none"/>
        </w:rPr>
      </w:pPr>
      <w:bookmarkStart w:id="29" w:name="_Toc156381366"/>
      <w:bookmarkStart w:id="30" w:name="_Toc519778268"/>
      <w:bookmarkStart w:id="31" w:name="_Toc21003"/>
      <w:r>
        <w:rPr>
          <w:rFonts w:ascii="Times New Roman" w:hAnsi="Times New Roman" w:cs="Times New Roman"/>
          <w:highlight w:val="none"/>
        </w:rPr>
        <w:t>7.1 校准项目</w:t>
      </w:r>
      <w:bookmarkEnd w:id="29"/>
      <w:bookmarkEnd w:id="30"/>
      <w:bookmarkEnd w:id="31"/>
    </w:p>
    <w:p w14:paraId="18F0BC8F">
      <w:pPr>
        <w:adjustRightInd w:val="0"/>
        <w:snapToGrid w:val="0"/>
        <w:rPr>
          <w:highlight w:val="none"/>
        </w:rPr>
      </w:pPr>
      <w:r>
        <w:rPr>
          <w:highlight w:val="none"/>
        </w:rPr>
        <w:tab/>
      </w:r>
      <w:bookmarkStart w:id="32" w:name="_Toc519778269"/>
      <w:bookmarkStart w:id="33" w:name="_Toc15032"/>
      <w:r>
        <w:rPr>
          <w:rFonts w:hint="eastAsia"/>
          <w:highlight w:val="none"/>
        </w:rPr>
        <w:t>a</w:t>
      </w:r>
      <w:r>
        <w:rPr>
          <w:highlight w:val="none"/>
        </w:rPr>
        <w:t>) 一般显色指数</w:t>
      </w:r>
      <w:r>
        <w:rPr>
          <w:i/>
          <w:iCs/>
          <w:highlight w:val="none"/>
        </w:rPr>
        <w:t>R</w:t>
      </w:r>
      <w:r>
        <w:rPr>
          <w:rFonts w:hint="eastAsia"/>
          <w:highlight w:val="none"/>
          <w:vertAlign w:val="subscript"/>
        </w:rPr>
        <w:t>a</w:t>
      </w:r>
      <w:r>
        <w:rPr>
          <w:highlight w:val="none"/>
        </w:rPr>
        <w:t>。</w:t>
      </w:r>
    </w:p>
    <w:p w14:paraId="667E66E7">
      <w:pPr>
        <w:adjustRightInd w:val="0"/>
        <w:snapToGrid w:val="0"/>
        <w:ind w:firstLine="420"/>
        <w:rPr>
          <w:highlight w:val="none"/>
        </w:rPr>
      </w:pPr>
      <w:r>
        <w:rPr>
          <w:highlight w:val="none"/>
        </w:rPr>
        <w:t xml:space="preserve">b) </w:t>
      </w:r>
      <w:r>
        <w:rPr>
          <w:rFonts w:hint="eastAsia"/>
          <w:highlight w:val="none"/>
        </w:rPr>
        <w:t>特殊显色指数</w:t>
      </w:r>
      <w:r>
        <w:rPr>
          <w:i/>
          <w:iCs/>
          <w:highlight w:val="none"/>
        </w:rPr>
        <w:t>R</w:t>
      </w:r>
      <w:r>
        <w:rPr>
          <w:i/>
          <w:iCs/>
          <w:highlight w:val="none"/>
          <w:vertAlign w:val="subscript"/>
        </w:rPr>
        <w:t>i</w:t>
      </w:r>
      <w:r>
        <w:rPr>
          <w:rFonts w:hint="eastAsia"/>
          <w:highlight w:val="none"/>
        </w:rPr>
        <w:t>。</w:t>
      </w:r>
    </w:p>
    <w:p w14:paraId="31A2085B">
      <w:pPr>
        <w:adjustRightInd w:val="0"/>
        <w:snapToGrid w:val="0"/>
        <w:rPr>
          <w:highlight w:val="none"/>
        </w:rPr>
      </w:pPr>
    </w:p>
    <w:p w14:paraId="0E1D0DC1">
      <w:pPr>
        <w:pStyle w:val="17"/>
        <w:rPr>
          <w:rFonts w:hint="eastAsia"/>
          <w:highlight w:val="none"/>
        </w:rPr>
      </w:pPr>
      <w:bookmarkStart w:id="34" w:name="_Toc156381367"/>
      <w:r>
        <w:rPr>
          <w:highlight w:val="none"/>
        </w:rPr>
        <w:t>7.2 校准方法</w:t>
      </w:r>
      <w:bookmarkEnd w:id="32"/>
      <w:bookmarkEnd w:id="33"/>
      <w:bookmarkEnd w:id="34"/>
    </w:p>
    <w:p w14:paraId="02C78E7A">
      <w:pPr>
        <w:spacing w:before="156" w:beforeLines="50"/>
        <w:rPr>
          <w:highlight w:val="none"/>
        </w:rPr>
      </w:pPr>
      <w:r>
        <w:rPr>
          <w:rFonts w:hint="eastAsia"/>
          <w:highlight w:val="none"/>
        </w:rPr>
        <w:t>7</w:t>
      </w:r>
      <w:r>
        <w:rPr>
          <w:highlight w:val="none"/>
        </w:rPr>
        <w:t xml:space="preserve">.2.1 </w:t>
      </w:r>
      <w:r>
        <w:rPr>
          <w:rFonts w:hint="eastAsia"/>
          <w:highlight w:val="none"/>
        </w:rPr>
        <w:t>采用光轨的显色指数校准方法</w:t>
      </w:r>
    </w:p>
    <w:p w14:paraId="17AF6F9A">
      <w:pPr>
        <w:spacing w:before="156" w:beforeLines="50"/>
        <w:ind w:firstLine="480" w:firstLineChars="200"/>
        <w:rPr>
          <w:highlight w:val="none"/>
        </w:rPr>
      </w:pPr>
      <w:r>
        <w:rPr>
          <w:rFonts w:hint="eastAsia"/>
          <w:highlight w:val="none"/>
        </w:rPr>
        <w:t>a</w:t>
      </w:r>
      <w:r>
        <w:rPr>
          <w:highlight w:val="none"/>
        </w:rPr>
        <w:t>) 校准前检查</w:t>
      </w:r>
    </w:p>
    <w:p w14:paraId="6A3E53F0">
      <w:pPr>
        <w:ind w:firstLine="420"/>
        <w:rPr>
          <w:highlight w:val="none"/>
        </w:rPr>
      </w:pPr>
      <w:r>
        <w:rPr>
          <w:highlight w:val="none"/>
        </w:rPr>
        <w:t>采用目视法检查标准灯和被测灯的外观，</w:t>
      </w:r>
      <w:r>
        <w:rPr>
          <w:rStyle w:val="20"/>
          <w:rFonts w:hint="default" w:ascii="Times New Roman" w:hAnsi="Times New Roman"/>
          <w:highlight w:val="none"/>
        </w:rPr>
        <w:t>不应有严重缺陷，不影响正常使用。</w:t>
      </w:r>
    </w:p>
    <w:p w14:paraId="7426FCE5">
      <w:pPr>
        <w:spacing w:before="156" w:beforeLines="50"/>
        <w:ind w:firstLine="480" w:firstLineChars="200"/>
        <w:rPr>
          <w:highlight w:val="none"/>
        </w:rPr>
      </w:pPr>
      <w:r>
        <w:rPr>
          <w:highlight w:val="none"/>
        </w:rPr>
        <w:t>b) 校准前准备</w:t>
      </w:r>
    </w:p>
    <w:p w14:paraId="01E20D8A">
      <w:pPr>
        <w:ind w:firstLine="420"/>
        <w:rPr>
          <w:highlight w:val="none"/>
        </w:rPr>
      </w:pPr>
      <w:r>
        <w:rPr>
          <w:rFonts w:hint="eastAsia"/>
          <w:highlight w:val="none"/>
        </w:rPr>
        <w:t>电源、电测仪表和</w:t>
      </w:r>
      <w:r>
        <w:rPr>
          <w:highlight w:val="none"/>
        </w:rPr>
        <w:t>光谱辐射计开机预热30分钟以上。</w:t>
      </w:r>
    </w:p>
    <w:p w14:paraId="24DDC8CA">
      <w:pPr>
        <w:spacing w:before="156" w:beforeLines="50"/>
        <w:ind w:firstLine="480" w:firstLineChars="200"/>
        <w:rPr>
          <w:highlight w:val="none"/>
        </w:rPr>
      </w:pPr>
      <w:r>
        <w:rPr>
          <w:highlight w:val="none"/>
        </w:rPr>
        <w:t xml:space="preserve">c) </w:t>
      </w:r>
      <w:r>
        <w:rPr>
          <w:rFonts w:hint="eastAsia"/>
          <w:highlight w:val="none"/>
        </w:rPr>
        <w:t>测量装置</w:t>
      </w:r>
      <w:r>
        <w:rPr>
          <w:highlight w:val="none"/>
        </w:rPr>
        <w:t>定标</w:t>
      </w:r>
    </w:p>
    <w:p w14:paraId="7211EADE">
      <w:pPr>
        <w:pStyle w:val="25"/>
        <w:ind w:firstLine="480" w:firstLineChars="200"/>
        <w:rPr>
          <w:rFonts w:ascii="Times New Roman" w:hAnsi="Times New Roman" w:eastAsia="宋体" w:cs="Times New Roman"/>
          <w:color w:val="000000" w:themeColor="text1"/>
          <w:highlight w:val="none"/>
          <w14:textFill>
            <w14:solidFill>
              <w14:schemeClr w14:val="tx1"/>
            </w14:solidFill>
          </w14:textFill>
        </w:rPr>
      </w:pPr>
      <w:bookmarkStart w:id="35" w:name="_Hlk62627659"/>
      <w:r>
        <w:rPr>
          <w:rFonts w:ascii="Times New Roman" w:hAnsi="Times New Roman" w:cs="Times New Roman"/>
          <w:color w:val="000000" w:themeColor="text1"/>
          <w:highlight w:val="none"/>
          <w14:textFill>
            <w14:solidFill>
              <w14:schemeClr w14:val="tx1"/>
            </w14:solidFill>
          </w14:textFill>
        </w:rPr>
        <w:t>点燃</w:t>
      </w:r>
      <w:r>
        <w:rPr>
          <w:rFonts w:ascii="Times New Roman" w:hAnsi="Times New Roman" w:eastAsia="宋体" w:cs="Times New Roman"/>
          <w:color w:val="000000" w:themeColor="text1"/>
          <w:highlight w:val="none"/>
          <w14:textFill>
            <w14:solidFill>
              <w14:schemeClr w14:val="tx1"/>
            </w14:solidFill>
          </w14:textFill>
        </w:rPr>
        <w:t>一只</w:t>
      </w:r>
      <w:r>
        <w:rPr>
          <w:rFonts w:hint="eastAsia" w:ascii="Times New Roman" w:hAnsi="Times New Roman" w:eastAsia="宋体" w:cs="Times New Roman"/>
          <w:color w:val="000000" w:themeColor="text1"/>
          <w:highlight w:val="none"/>
          <w14:textFill>
            <w14:solidFill>
              <w14:schemeClr w14:val="tx1"/>
            </w14:solidFill>
          </w14:textFill>
        </w:rPr>
        <w:t>色温</w:t>
      </w:r>
      <w:r>
        <w:rPr>
          <w:rFonts w:ascii="Times New Roman" w:hAnsi="Times New Roman" w:eastAsia="宋体" w:cs="Times New Roman"/>
          <w:color w:val="000000" w:themeColor="text1"/>
          <w:highlight w:val="none"/>
          <w14:textFill>
            <w14:solidFill>
              <w14:schemeClr w14:val="tx1"/>
            </w14:solidFill>
          </w14:textFill>
        </w:rPr>
        <w:t>标准灯，待稳定后开始测量，测量过程中电参数波动不得</w:t>
      </w:r>
      <w:r>
        <w:rPr>
          <w:rFonts w:hint="eastAsia" w:ascii="Times New Roman" w:hAnsi="Times New Roman" w:eastAsia="宋体" w:cs="Times New Roman"/>
          <w:color w:val="000000" w:themeColor="text1"/>
          <w:highlight w:val="none"/>
          <w14:textFill>
            <w14:solidFill>
              <w14:schemeClr w14:val="tx1"/>
            </w14:solidFill>
          </w14:textFill>
        </w:rPr>
        <w:t>超过</w:t>
      </w:r>
      <w:bookmarkStart w:id="36" w:name="_Hlk154762095"/>
      <w:r>
        <w:rPr>
          <w:rFonts w:hint="eastAsia" w:ascii="Times New Roman" w:hAnsi="Times New Roman" w:eastAsia="宋体" w:cs="Times New Roman"/>
          <w:color w:val="000000" w:themeColor="text1"/>
          <w:highlight w:val="none"/>
          <w14:textFill>
            <w14:solidFill>
              <w14:schemeClr w14:val="tx1"/>
            </w14:solidFill>
          </w14:textFill>
        </w:rPr>
        <w:t>0</w:t>
      </w:r>
      <w:r>
        <w:rPr>
          <w:rFonts w:ascii="Times New Roman" w:hAnsi="Times New Roman" w:eastAsia="宋体" w:cs="Times New Roman"/>
          <w:color w:val="000000" w:themeColor="text1"/>
          <w:highlight w:val="none"/>
          <w14:textFill>
            <w14:solidFill>
              <w14:schemeClr w14:val="tx1"/>
            </w14:solidFill>
          </w14:textFill>
        </w:rPr>
        <w:t>.02%</w:t>
      </w:r>
      <w:r>
        <w:rPr>
          <w:rFonts w:hint="eastAsia" w:ascii="Times New Roman" w:hAnsi="Times New Roman" w:eastAsia="宋体" w:cs="Times New Roman"/>
          <w:color w:val="000000" w:themeColor="text1"/>
          <w:highlight w:val="none"/>
          <w14:textFill>
            <w14:solidFill>
              <w14:schemeClr w14:val="tx1"/>
            </w14:solidFill>
          </w14:textFill>
        </w:rPr>
        <w:t>（直流）或0</w:t>
      </w:r>
      <w:r>
        <w:rPr>
          <w:rFonts w:ascii="Times New Roman" w:hAnsi="Times New Roman" w:eastAsia="宋体" w:cs="Times New Roman"/>
          <w:color w:val="000000" w:themeColor="text1"/>
          <w:highlight w:val="none"/>
          <w14:textFill>
            <w14:solidFill>
              <w14:schemeClr w14:val="tx1"/>
            </w14:solidFill>
          </w14:textFill>
        </w:rPr>
        <w:t>.1%</w:t>
      </w:r>
      <w:r>
        <w:rPr>
          <w:rFonts w:hint="eastAsia" w:ascii="Times New Roman" w:hAnsi="Times New Roman" w:eastAsia="宋体" w:cs="Times New Roman"/>
          <w:color w:val="000000" w:themeColor="text1"/>
          <w:highlight w:val="none"/>
          <w14:textFill>
            <w14:solidFill>
              <w14:schemeClr w14:val="tx1"/>
            </w14:solidFill>
          </w14:textFill>
        </w:rPr>
        <w:t>（交流）</w:t>
      </w:r>
      <w:bookmarkEnd w:id="36"/>
      <w:r>
        <w:rPr>
          <w:rFonts w:ascii="Times New Roman" w:hAnsi="Times New Roman" w:eastAsia="宋体" w:cs="Times New Roman"/>
          <w:color w:val="000000" w:themeColor="text1"/>
          <w:highlight w:val="none"/>
          <w14:textFill>
            <w14:solidFill>
              <w14:schemeClr w14:val="tx1"/>
            </w14:solidFill>
          </w14:textFill>
        </w:rPr>
        <w:t>，测量完毕，熄灭标准灯。点燃和熄灭标准灯时应将电压或电流缓升缓降。在选定的波长点测得光电读数为</w:t>
      </w:r>
      <w:r>
        <w:rPr>
          <w:rFonts w:ascii="Times New Roman" w:hAnsi="Times New Roman" w:eastAsia="宋体" w:cs="Times New Roman"/>
          <w:i/>
          <w:iCs/>
          <w:color w:val="000000" w:themeColor="text1"/>
          <w:highlight w:val="none"/>
          <w14:textFill>
            <w14:solidFill>
              <w14:schemeClr w14:val="tx1"/>
            </w14:solidFill>
          </w14:textFill>
        </w:rPr>
        <w:t>m</w:t>
      </w:r>
      <w:r>
        <w:rPr>
          <w:rFonts w:ascii="Times New Roman" w:hAnsi="Times New Roman" w:eastAsia="宋体" w:cs="Times New Roman"/>
          <w:color w:val="000000" w:themeColor="text1"/>
          <w:highlight w:val="none"/>
          <w:vertAlign w:val="subscript"/>
          <w14:textFill>
            <w14:solidFill>
              <w14:schemeClr w14:val="tx1"/>
            </w14:solidFill>
          </w14:textFill>
        </w:rPr>
        <w:t>1</w:t>
      </w:r>
      <w:r>
        <w:rPr>
          <w:rFonts w:ascii="Times New Roman" w:hAnsi="Times New Roman" w:eastAsia="宋体" w:cs="Times New Roman"/>
          <w:color w:val="000000" w:themeColor="text1"/>
          <w:highlight w:val="none"/>
          <w14:textFill>
            <w14:solidFill>
              <w14:schemeClr w14:val="tx1"/>
            </w14:solidFill>
          </w14:textFill>
        </w:rPr>
        <w:t>(λ)，标准灯在相应波长点的辐射</w:t>
      </w:r>
      <w:r>
        <w:rPr>
          <w:rFonts w:hint="eastAsia" w:ascii="Times New Roman" w:hAnsi="Times New Roman" w:eastAsia="宋体" w:cs="Times New Roman"/>
          <w:color w:val="000000" w:themeColor="text1"/>
          <w:highlight w:val="none"/>
          <w14:textFill>
            <w14:solidFill>
              <w14:schemeClr w14:val="tx1"/>
            </w14:solidFill>
          </w14:textFill>
        </w:rPr>
        <w:t>照度</w:t>
      </w:r>
      <w:r>
        <w:rPr>
          <w:rFonts w:ascii="Times New Roman" w:hAnsi="Times New Roman" w:eastAsia="宋体" w:cs="Times New Roman"/>
          <w:color w:val="000000" w:themeColor="text1"/>
          <w:highlight w:val="none"/>
          <w14:textFill>
            <w14:solidFill>
              <w14:schemeClr w14:val="tx1"/>
            </w14:solidFill>
          </w14:textFill>
        </w:rPr>
        <w:t>的相对光谱密集度为</w:t>
      </w:r>
      <w:r>
        <w:rPr>
          <w:rFonts w:hint="eastAsia" w:ascii="Times New Roman" w:hAnsi="Times New Roman" w:eastAsia="宋体" w:cs="Times New Roman"/>
          <w:i/>
          <w:iCs/>
          <w:color w:val="000000" w:themeColor="text1"/>
          <w:highlight w:val="none"/>
          <w14:textFill>
            <w14:solidFill>
              <w14:schemeClr w14:val="tx1"/>
            </w14:solidFill>
          </w14:textFill>
        </w:rPr>
        <w:t>E</w:t>
      </w:r>
      <w:r>
        <w:rPr>
          <w:rFonts w:ascii="Times New Roman" w:hAnsi="Times New Roman" w:eastAsia="宋体" w:cs="Times New Roman"/>
          <w:color w:val="000000" w:themeColor="text1"/>
          <w:highlight w:val="none"/>
          <w:vertAlign w:val="subscript"/>
          <w14:textFill>
            <w14:solidFill>
              <w14:schemeClr w14:val="tx1"/>
            </w14:solidFill>
          </w14:textFill>
        </w:rPr>
        <w:t>1</w:t>
      </w:r>
      <w:r>
        <w:rPr>
          <w:rFonts w:ascii="Times New Roman" w:hAnsi="Times New Roman" w:eastAsia="宋体" w:cs="Times New Roman"/>
          <w:color w:val="000000" w:themeColor="text1"/>
          <w:highlight w:val="none"/>
          <w14:textFill>
            <w14:solidFill>
              <w14:schemeClr w14:val="tx1"/>
            </w14:solidFill>
          </w14:textFill>
        </w:rPr>
        <w:t>(λ)，则相对光谱密集度常数为：</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4110"/>
        <w:gridCol w:w="1985"/>
      </w:tblGrid>
      <w:tr w14:paraId="4A204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7" w:type="dxa"/>
            <w:vAlign w:val="center"/>
          </w:tcPr>
          <w:p w14:paraId="00F93E08">
            <w:pPr>
              <w:jc w:val="left"/>
              <w:rPr>
                <w:color w:val="000000" w:themeColor="text1"/>
                <w:highlight w:val="none"/>
                <w14:textFill>
                  <w14:solidFill>
                    <w14:schemeClr w14:val="tx1"/>
                  </w14:solidFill>
                </w14:textFill>
              </w:rPr>
            </w:pPr>
          </w:p>
        </w:tc>
        <w:tc>
          <w:tcPr>
            <w:tcW w:w="4110" w:type="dxa"/>
            <w:vAlign w:val="center"/>
          </w:tcPr>
          <w:p w14:paraId="74CD6842">
            <w:pPr>
              <w:ind w:leftChars="-2" w:hanging="4" w:hangingChars="2"/>
              <w:jc w:val="center"/>
              <w:rPr>
                <w:color w:val="000000" w:themeColor="text1"/>
                <w:highlight w:val="none"/>
                <w14:textFill>
                  <w14:solidFill>
                    <w14:schemeClr w14:val="tx1"/>
                  </w14:solidFill>
                </w14:textFill>
              </w:rPr>
            </w:pPr>
            <m:oMathPara>
              <m:oMath>
                <m:sSub>
                  <m:sSubPr>
                    <m:ctrlPr>
                      <w:rPr>
                        <w:rFonts w:ascii="Cambria Math" w:hAnsi="Cambria Math"/>
                        <w:color w:val="000000" w:themeColor="text1"/>
                        <w:highlight w:val="none"/>
                        <w14:textFill>
                          <w14:solidFill>
                            <w14:schemeClr w14:val="tx1"/>
                          </w14:solidFill>
                        </w14:textFill>
                      </w:rPr>
                    </m:ctrlPr>
                  </m:sSubPr>
                  <m:e>
                    <m:r>
                      <m:rPr/>
                      <w:rPr>
                        <w:rFonts w:ascii="Cambria Math" w:hAnsi="Cambria Math"/>
                        <w:color w:val="000000" w:themeColor="text1"/>
                        <w:highlight w:val="none"/>
                        <w14:textFill>
                          <w14:solidFill>
                            <w14:schemeClr w14:val="tx1"/>
                          </w14:solidFill>
                        </w14:textFill>
                      </w:rPr>
                      <m:t>c</m:t>
                    </m:r>
                    <m:ctrlPr>
                      <w:rPr>
                        <w:rFonts w:ascii="Cambria Math" w:hAnsi="Cambria Math"/>
                        <w:color w:val="000000" w:themeColor="text1"/>
                        <w:highlight w:val="none"/>
                        <w14:textFill>
                          <w14:solidFill>
                            <w14:schemeClr w14:val="tx1"/>
                          </w14:solidFill>
                        </w14:textFill>
                      </w:rPr>
                    </m:ctrlPr>
                  </m:e>
                  <m:sub>
                    <m:r>
                      <m:rPr/>
                      <w:rPr>
                        <w:rFonts w:ascii="Cambria Math" w:hAnsi="Cambria Math"/>
                        <w:color w:val="000000" w:themeColor="text1"/>
                        <w:highlight w:val="none"/>
                        <w14:textFill>
                          <w14:solidFill>
                            <w14:schemeClr w14:val="tx1"/>
                          </w14:solidFill>
                        </w14:textFill>
                      </w:rPr>
                      <m:t>1</m:t>
                    </m:r>
                    <m:ctrlPr>
                      <w:rPr>
                        <w:rFonts w:ascii="Cambria Math" w:hAnsi="Cambria Math"/>
                        <w:color w:val="000000" w:themeColor="text1"/>
                        <w:highlight w:val="none"/>
                        <w14:textFill>
                          <w14:solidFill>
                            <w14:schemeClr w14:val="tx1"/>
                          </w14:solidFill>
                        </w14:textFill>
                      </w:rPr>
                    </m:ctrlPr>
                  </m:sub>
                </m:sSub>
                <m:r>
                  <m:rPr/>
                  <w:rPr>
                    <w:rFonts w:ascii="Cambria Math" w:hAnsi="Cambria Math"/>
                    <w:color w:val="000000" w:themeColor="text1"/>
                    <w:highlight w:val="none"/>
                    <w14:textFill>
                      <w14:solidFill>
                        <w14:schemeClr w14:val="tx1"/>
                      </w14:solidFill>
                    </w14:textFill>
                  </w:rPr>
                  <m:t>(λ)=</m:t>
                </m:r>
                <m:f>
                  <m:fPr>
                    <m:ctrlPr>
                      <w:rPr>
                        <w:rFonts w:ascii="Cambria Math" w:hAnsi="Cambria Math"/>
                        <w:color w:val="000000" w:themeColor="text1"/>
                        <w:highlight w:val="none"/>
                        <w14:textFill>
                          <w14:solidFill>
                            <w14:schemeClr w14:val="tx1"/>
                          </w14:solidFill>
                        </w14:textFill>
                      </w:rPr>
                    </m:ctrlPr>
                  </m:fPr>
                  <m:num>
                    <m:sSub>
                      <m:sSubPr>
                        <m:ctrlPr>
                          <w:rPr>
                            <w:rFonts w:ascii="Cambria Math" w:hAnsi="Cambria Math"/>
                            <w:color w:val="000000" w:themeColor="text1"/>
                            <w:highlight w:val="none"/>
                            <w14:textFill>
                              <w14:solidFill>
                                <w14:schemeClr w14:val="tx1"/>
                              </w14:solidFill>
                            </w14:textFill>
                          </w:rPr>
                        </m:ctrlPr>
                      </m:sSubPr>
                      <m:e>
                        <m:r>
                          <m:rPr/>
                          <w:rPr>
                            <w:rFonts w:hint="eastAsia" w:ascii="Cambria Math" w:hAnsi="Cambria Math"/>
                            <w:color w:val="000000" w:themeColor="text1"/>
                            <w:highlight w:val="none"/>
                            <w14:textFill>
                              <w14:solidFill>
                                <w14:schemeClr w14:val="tx1"/>
                              </w14:solidFill>
                            </w14:textFill>
                          </w:rPr>
                          <m:t>E</m:t>
                        </m:r>
                        <m:ctrlPr>
                          <w:rPr>
                            <w:rFonts w:ascii="Cambria Math" w:hAnsi="Cambria Math"/>
                            <w:color w:val="000000" w:themeColor="text1"/>
                            <w:highlight w:val="none"/>
                            <w14:textFill>
                              <w14:solidFill>
                                <w14:schemeClr w14:val="tx1"/>
                              </w14:solidFill>
                            </w14:textFill>
                          </w:rPr>
                        </m:ctrlPr>
                      </m:e>
                      <m:sub>
                        <m:r>
                          <m:rPr/>
                          <w:rPr>
                            <w:rFonts w:ascii="Cambria Math" w:hAnsi="Cambria Math"/>
                            <w:color w:val="000000" w:themeColor="text1"/>
                            <w:highlight w:val="none"/>
                            <w14:textFill>
                              <w14:solidFill>
                                <w14:schemeClr w14:val="tx1"/>
                              </w14:solidFill>
                            </w14:textFill>
                          </w:rPr>
                          <m:t>1</m:t>
                        </m:r>
                        <m:ctrlPr>
                          <w:rPr>
                            <w:rFonts w:ascii="Cambria Math" w:hAnsi="Cambria Math"/>
                            <w:color w:val="000000" w:themeColor="text1"/>
                            <w:highlight w:val="none"/>
                            <w14:textFill>
                              <w14:solidFill>
                                <w14:schemeClr w14:val="tx1"/>
                              </w14:solidFill>
                            </w14:textFill>
                          </w:rPr>
                        </m:ctrlPr>
                      </m:sub>
                    </m:sSub>
                    <m:r>
                      <m:rPr/>
                      <w:rPr>
                        <w:rFonts w:ascii="Cambria Math" w:hAnsi="Cambria Math"/>
                        <w:color w:val="000000" w:themeColor="text1"/>
                        <w:highlight w:val="none"/>
                        <w14:textFill>
                          <w14:solidFill>
                            <w14:schemeClr w14:val="tx1"/>
                          </w14:solidFill>
                        </w14:textFill>
                      </w:rPr>
                      <m:t>(λ)</m:t>
                    </m:r>
                    <m:ctrlPr>
                      <w:rPr>
                        <w:rFonts w:ascii="Cambria Math" w:hAnsi="Cambria Math"/>
                        <w:color w:val="000000" w:themeColor="text1"/>
                        <w:highlight w:val="none"/>
                        <w14:textFill>
                          <w14:solidFill>
                            <w14:schemeClr w14:val="tx1"/>
                          </w14:solidFill>
                        </w14:textFill>
                      </w:rPr>
                    </m:ctrlPr>
                  </m:num>
                  <m:den>
                    <m:sSub>
                      <m:sSubPr>
                        <m:ctrlPr>
                          <w:rPr>
                            <w:rFonts w:ascii="Cambria Math" w:hAnsi="Cambria Math"/>
                            <w:color w:val="000000" w:themeColor="text1"/>
                            <w:highlight w:val="none"/>
                            <w14:textFill>
                              <w14:solidFill>
                                <w14:schemeClr w14:val="tx1"/>
                              </w14:solidFill>
                            </w14:textFill>
                          </w:rPr>
                        </m:ctrlPr>
                      </m:sSubPr>
                      <m:e>
                        <m:r>
                          <m:rPr/>
                          <w:rPr>
                            <w:rFonts w:ascii="Cambria Math" w:hAnsi="Cambria Math"/>
                            <w:color w:val="000000" w:themeColor="text1"/>
                            <w:highlight w:val="none"/>
                            <w14:textFill>
                              <w14:solidFill>
                                <w14:schemeClr w14:val="tx1"/>
                              </w14:solidFill>
                            </w14:textFill>
                          </w:rPr>
                          <m:t>m</m:t>
                        </m:r>
                        <m:ctrlPr>
                          <w:rPr>
                            <w:rFonts w:ascii="Cambria Math" w:hAnsi="Cambria Math"/>
                            <w:color w:val="000000" w:themeColor="text1"/>
                            <w:highlight w:val="none"/>
                            <w14:textFill>
                              <w14:solidFill>
                                <w14:schemeClr w14:val="tx1"/>
                              </w14:solidFill>
                            </w14:textFill>
                          </w:rPr>
                        </m:ctrlPr>
                      </m:e>
                      <m:sub>
                        <m:r>
                          <m:rPr/>
                          <w:rPr>
                            <w:rFonts w:ascii="Cambria Math" w:hAnsi="Cambria Math"/>
                            <w:color w:val="000000" w:themeColor="text1"/>
                            <w:highlight w:val="none"/>
                            <w14:textFill>
                              <w14:solidFill>
                                <w14:schemeClr w14:val="tx1"/>
                              </w14:solidFill>
                            </w14:textFill>
                          </w:rPr>
                          <m:t>1</m:t>
                        </m:r>
                        <m:ctrlPr>
                          <w:rPr>
                            <w:rFonts w:ascii="Cambria Math" w:hAnsi="Cambria Math"/>
                            <w:color w:val="000000" w:themeColor="text1"/>
                            <w:highlight w:val="none"/>
                            <w14:textFill>
                              <w14:solidFill>
                                <w14:schemeClr w14:val="tx1"/>
                              </w14:solidFill>
                            </w14:textFill>
                          </w:rPr>
                        </m:ctrlPr>
                      </m:sub>
                    </m:sSub>
                    <m:r>
                      <m:rPr/>
                      <w:rPr>
                        <w:rFonts w:ascii="Cambria Math" w:hAnsi="Cambria Math"/>
                        <w:color w:val="000000" w:themeColor="text1"/>
                        <w:highlight w:val="none"/>
                        <w14:textFill>
                          <w14:solidFill>
                            <w14:schemeClr w14:val="tx1"/>
                          </w14:solidFill>
                        </w14:textFill>
                      </w:rPr>
                      <m:t>(λ)</m:t>
                    </m:r>
                    <m:ctrlPr>
                      <w:rPr>
                        <w:rFonts w:ascii="Cambria Math" w:hAnsi="Cambria Math"/>
                        <w:color w:val="000000" w:themeColor="text1"/>
                        <w:highlight w:val="none"/>
                        <w14:textFill>
                          <w14:solidFill>
                            <w14:schemeClr w14:val="tx1"/>
                          </w14:solidFill>
                        </w14:textFill>
                      </w:rPr>
                    </m:ctrlPr>
                  </m:den>
                </m:f>
              </m:oMath>
            </m:oMathPara>
          </w:p>
        </w:tc>
        <w:tc>
          <w:tcPr>
            <w:tcW w:w="1985" w:type="dxa"/>
            <w:vAlign w:val="center"/>
          </w:tcPr>
          <w:p w14:paraId="0725A464">
            <w:pPr>
              <w:ind w:firstLine="480"/>
              <w:jc w:val="right"/>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t>(1)</w:t>
            </w:r>
          </w:p>
        </w:tc>
      </w:tr>
    </w:tbl>
    <w:p w14:paraId="39908363">
      <w:pPr>
        <w:pStyle w:val="25"/>
        <w:ind w:firstLine="480" w:firstLineChars="200"/>
        <w:rPr>
          <w:rFonts w:ascii="Times New Roman" w:hAnsi="Times New Roman" w:eastAsia="宋体" w:cs="Times New Roman"/>
          <w:color w:val="000000" w:themeColor="text1"/>
          <w:highlight w:val="none"/>
          <w14:textFill>
            <w14:solidFill>
              <w14:schemeClr w14:val="tx1"/>
            </w14:solidFill>
          </w14:textFill>
        </w:rPr>
      </w:pPr>
      <w:r>
        <w:rPr>
          <w:rFonts w:ascii="Times New Roman" w:hAnsi="Times New Roman" w:eastAsia="宋体" w:cs="Times New Roman"/>
          <w:color w:val="000000" w:themeColor="text1"/>
          <w:highlight w:val="none"/>
          <w14:textFill>
            <w14:solidFill>
              <w14:schemeClr w14:val="tx1"/>
            </w14:solidFill>
          </w14:textFill>
        </w:rPr>
        <w:t>重新测量该标准灯得到光电读数</w:t>
      </w:r>
      <m:oMath>
        <m:sSubSup>
          <m:sSubSupPr>
            <m:ctrlPr>
              <w:rPr>
                <w:rFonts w:ascii="Cambria Math" w:hAnsi="Cambria Math" w:eastAsia="宋体" w:cs="Times New Roman"/>
                <w:i/>
                <w:color w:val="000000" w:themeColor="text1"/>
                <w:highlight w:val="none"/>
                <w14:textFill>
                  <w14:solidFill>
                    <w14:schemeClr w14:val="tx1"/>
                  </w14:solidFill>
                </w14:textFill>
              </w:rPr>
            </m:ctrlPr>
          </m:sSubSupPr>
          <m:e>
            <m:r>
              <m:rPr/>
              <w:rPr>
                <w:rFonts w:ascii="Cambria Math" w:hAnsi="Cambria Math" w:eastAsia="宋体" w:cs="Times New Roman"/>
                <w:color w:val="000000" w:themeColor="text1"/>
                <w:highlight w:val="none"/>
                <w14:textFill>
                  <w14:solidFill>
                    <w14:schemeClr w14:val="tx1"/>
                  </w14:solidFill>
                </w14:textFill>
              </w:rPr>
              <m:t>m</m:t>
            </m:r>
            <m:ctrlPr>
              <w:rPr>
                <w:rFonts w:ascii="Cambria Math" w:hAnsi="Cambria Math" w:eastAsia="宋体" w:cs="Times New Roman"/>
                <w:i/>
                <w:color w:val="000000" w:themeColor="text1"/>
                <w:highlight w:val="none"/>
                <w14:textFill>
                  <w14:solidFill>
                    <w14:schemeClr w14:val="tx1"/>
                  </w14:solidFill>
                </w14:textFill>
              </w:rPr>
            </m:ctrlPr>
          </m:e>
          <m:sub>
            <m:r>
              <m:rPr/>
              <w:rPr>
                <w:rFonts w:ascii="Cambria Math" w:hAnsi="Cambria Math" w:eastAsia="宋体" w:cs="Times New Roman"/>
                <w:color w:val="000000" w:themeColor="text1"/>
                <w:highlight w:val="none"/>
                <w14:textFill>
                  <w14:solidFill>
                    <w14:schemeClr w14:val="tx1"/>
                  </w14:solidFill>
                </w14:textFill>
              </w:rPr>
              <m:t>1</m:t>
            </m:r>
            <m:ctrlPr>
              <w:rPr>
                <w:rFonts w:ascii="Cambria Math" w:hAnsi="Cambria Math" w:eastAsia="宋体" w:cs="Times New Roman"/>
                <w:i/>
                <w:color w:val="000000" w:themeColor="text1"/>
                <w:highlight w:val="none"/>
                <w14:textFill>
                  <w14:solidFill>
                    <w14:schemeClr w14:val="tx1"/>
                  </w14:solidFill>
                </w14:textFill>
              </w:rPr>
            </m:ctrlPr>
          </m:sub>
          <m:sup>
            <m:r>
              <m:rPr/>
              <w:rPr>
                <w:rFonts w:ascii="Cambria Math" w:hAnsi="Cambria Math" w:eastAsia="MS Gothic" w:cs="Times New Roman"/>
                <w:color w:val="000000" w:themeColor="text1"/>
                <w:highlight w:val="none"/>
                <w14:textFill>
                  <w14:solidFill>
                    <w14:schemeClr w14:val="tx1"/>
                  </w14:solidFill>
                </w14:textFill>
              </w:rPr>
              <m:t>∗</m:t>
            </m:r>
            <m:ctrlPr>
              <w:rPr>
                <w:rFonts w:ascii="Cambria Math" w:hAnsi="Cambria Math" w:eastAsia="宋体" w:cs="Times New Roman"/>
                <w:i/>
                <w:color w:val="000000" w:themeColor="text1"/>
                <w:highlight w:val="none"/>
                <w14:textFill>
                  <w14:solidFill>
                    <w14:schemeClr w14:val="tx1"/>
                  </w14:solidFill>
                </w14:textFill>
              </w:rPr>
            </m:ctrlPr>
          </m:sup>
        </m:sSubSup>
        <m:r>
          <m:rPr>
            <m:sty m:val="p"/>
          </m:rPr>
          <w:rPr>
            <w:rFonts w:ascii="Cambria Math" w:hAnsi="Cambria Math" w:eastAsia="宋体" w:cs="Times New Roman"/>
            <w:color w:val="000000" w:themeColor="text1"/>
            <w:highlight w:val="none"/>
            <w14:textFill>
              <w14:solidFill>
                <w14:schemeClr w14:val="tx1"/>
              </w14:solidFill>
            </w14:textFill>
          </w:rPr>
          <m:t>(λ)</m:t>
        </m:r>
      </m:oMath>
      <w:r>
        <w:rPr>
          <w:rFonts w:ascii="Times New Roman" w:hAnsi="Times New Roman" w:eastAsia="宋体" w:cs="Times New Roman"/>
          <w:color w:val="000000" w:themeColor="text1"/>
          <w:highlight w:val="none"/>
          <w14:textFill>
            <w14:solidFill>
              <w14:schemeClr w14:val="tx1"/>
            </w14:solidFill>
          </w14:textFill>
        </w:rPr>
        <w:t>，结合</w:t>
      </w:r>
      <w:r>
        <w:rPr>
          <w:rFonts w:hint="eastAsia" w:ascii="Times New Roman" w:hAnsi="Times New Roman" w:eastAsia="宋体" w:cs="Times New Roman"/>
          <w:color w:val="000000" w:themeColor="text1"/>
          <w:highlight w:val="none"/>
          <w14:textFill>
            <w14:solidFill>
              <w14:schemeClr w14:val="tx1"/>
            </w14:solidFill>
          </w14:textFill>
        </w:rPr>
        <w:t>其</w:t>
      </w:r>
      <w:r>
        <w:rPr>
          <w:rFonts w:ascii="Times New Roman" w:hAnsi="Times New Roman" w:eastAsia="宋体" w:cs="Times New Roman"/>
          <w:color w:val="000000" w:themeColor="text1"/>
          <w:highlight w:val="none"/>
          <w14:textFill>
            <w14:solidFill>
              <w14:schemeClr w14:val="tx1"/>
            </w14:solidFill>
          </w14:textFill>
        </w:rPr>
        <w:t>相对光谱密集度常数</w:t>
      </w:r>
      <w:r>
        <w:rPr>
          <w:rFonts w:ascii="Times New Roman" w:hAnsi="Times New Roman" w:eastAsia="宋体" w:cs="Times New Roman"/>
          <w:i/>
          <w:iCs/>
          <w:color w:val="000000" w:themeColor="text1"/>
          <w:highlight w:val="none"/>
          <w14:textFill>
            <w14:solidFill>
              <w14:schemeClr w14:val="tx1"/>
            </w14:solidFill>
          </w14:textFill>
        </w:rPr>
        <w:t>c</w:t>
      </w:r>
      <w:r>
        <w:rPr>
          <w:rFonts w:ascii="Times New Roman" w:hAnsi="Times New Roman" w:eastAsia="宋体" w:cs="Times New Roman"/>
          <w:color w:val="000000" w:themeColor="text1"/>
          <w:highlight w:val="none"/>
          <w:vertAlign w:val="subscript"/>
          <w14:textFill>
            <w14:solidFill>
              <w14:schemeClr w14:val="tx1"/>
            </w14:solidFill>
          </w14:textFill>
        </w:rPr>
        <w:t>1</w:t>
      </w:r>
      <w:r>
        <w:rPr>
          <w:rFonts w:ascii="Times New Roman" w:hAnsi="Times New Roman" w:eastAsia="宋体" w:cs="Times New Roman"/>
          <w:color w:val="000000" w:themeColor="text1"/>
          <w:highlight w:val="none"/>
          <w14:textFill>
            <w14:solidFill>
              <w14:schemeClr w14:val="tx1"/>
            </w14:solidFill>
          </w14:textFill>
        </w:rPr>
        <w:t>(λ)，得到光谱辐射</w:t>
      </w:r>
      <w:r>
        <w:rPr>
          <w:rFonts w:hint="eastAsia" w:ascii="Times New Roman" w:hAnsi="Times New Roman" w:eastAsia="宋体" w:cs="Times New Roman"/>
          <w:color w:val="000000" w:themeColor="text1"/>
          <w:highlight w:val="none"/>
          <w14:textFill>
            <w14:solidFill>
              <w14:schemeClr w14:val="tx1"/>
            </w14:solidFill>
          </w14:textFill>
        </w:rPr>
        <w:t>照度</w:t>
      </w:r>
      <m:oMath>
        <m:sSubSup>
          <m:sSubSupPr>
            <m:ctrlPr>
              <w:rPr>
                <w:rFonts w:ascii="Cambria Math" w:hAnsi="Cambria Math" w:eastAsia="宋体" w:cs="Times New Roman"/>
                <w:i/>
                <w:color w:val="000000" w:themeColor="text1"/>
                <w:highlight w:val="none"/>
                <w14:textFill>
                  <w14:solidFill>
                    <w14:schemeClr w14:val="tx1"/>
                  </w14:solidFill>
                </w14:textFill>
              </w:rPr>
            </m:ctrlPr>
          </m:sSubSupPr>
          <m:e>
            <m:r>
              <m:rPr/>
              <w:rPr>
                <w:rFonts w:hint="eastAsia" w:ascii="Cambria Math" w:hAnsi="Cambria Math" w:eastAsia="宋体" w:cs="Times New Roman"/>
                <w:color w:val="000000" w:themeColor="text1"/>
                <w:highlight w:val="none"/>
                <w14:textFill>
                  <w14:solidFill>
                    <w14:schemeClr w14:val="tx1"/>
                  </w14:solidFill>
                </w14:textFill>
              </w:rPr>
              <m:t>E</m:t>
            </m:r>
            <m:ctrlPr>
              <w:rPr>
                <w:rFonts w:ascii="Cambria Math" w:hAnsi="Cambria Math" w:eastAsia="宋体" w:cs="Times New Roman"/>
                <w:i/>
                <w:color w:val="000000" w:themeColor="text1"/>
                <w:highlight w:val="none"/>
                <w14:textFill>
                  <w14:solidFill>
                    <w14:schemeClr w14:val="tx1"/>
                  </w14:solidFill>
                </w14:textFill>
              </w:rPr>
            </m:ctrlPr>
          </m:e>
          <m:sub>
            <m:r>
              <m:rPr/>
              <w:rPr>
                <w:rFonts w:ascii="Cambria Math" w:hAnsi="Cambria Math" w:eastAsia="宋体" w:cs="Times New Roman"/>
                <w:color w:val="000000" w:themeColor="text1"/>
                <w:highlight w:val="none"/>
                <w14:textFill>
                  <w14:solidFill>
                    <w14:schemeClr w14:val="tx1"/>
                  </w14:solidFill>
                </w14:textFill>
              </w:rPr>
              <m:t>1</m:t>
            </m:r>
            <m:ctrlPr>
              <w:rPr>
                <w:rFonts w:ascii="Cambria Math" w:hAnsi="Cambria Math" w:eastAsia="宋体" w:cs="Times New Roman"/>
                <w:i/>
                <w:color w:val="000000" w:themeColor="text1"/>
                <w:highlight w:val="none"/>
                <w14:textFill>
                  <w14:solidFill>
                    <w14:schemeClr w14:val="tx1"/>
                  </w14:solidFill>
                </w14:textFill>
              </w:rPr>
            </m:ctrlPr>
          </m:sub>
          <m:sup>
            <m:r>
              <m:rPr/>
              <w:rPr>
                <w:rFonts w:ascii="Cambria Math" w:hAnsi="Cambria Math" w:eastAsia="MS Gothic" w:cs="Times New Roman"/>
                <w:color w:val="000000" w:themeColor="text1"/>
                <w:highlight w:val="none"/>
                <w14:textFill>
                  <w14:solidFill>
                    <w14:schemeClr w14:val="tx1"/>
                  </w14:solidFill>
                </w14:textFill>
              </w:rPr>
              <m:t>∗</m:t>
            </m:r>
            <m:ctrlPr>
              <w:rPr>
                <w:rFonts w:ascii="Cambria Math" w:hAnsi="Cambria Math" w:eastAsia="宋体" w:cs="Times New Roman"/>
                <w:i/>
                <w:color w:val="000000" w:themeColor="text1"/>
                <w:highlight w:val="none"/>
                <w14:textFill>
                  <w14:solidFill>
                    <w14:schemeClr w14:val="tx1"/>
                  </w14:solidFill>
                </w14:textFill>
              </w:rPr>
            </m:ctrlPr>
          </m:sup>
        </m:sSubSup>
        <m:r>
          <m:rPr/>
          <w:rPr>
            <w:rFonts w:ascii="Cambria Math" w:hAnsi="Cambria Math" w:cs="Times New Roman"/>
            <w:color w:val="000000" w:themeColor="text1"/>
            <w:highlight w:val="none"/>
            <w14:textFill>
              <w14:solidFill>
                <w14:schemeClr w14:val="tx1"/>
              </w14:solidFill>
            </w14:textFill>
          </w:rPr>
          <m:t>(λ)=</m:t>
        </m:r>
        <m:sSubSup>
          <m:sSubSupPr>
            <m:ctrlPr>
              <w:rPr>
                <w:rFonts w:ascii="Cambria Math" w:hAnsi="Cambria Math" w:eastAsia="宋体" w:cs="Times New Roman"/>
                <w:i/>
                <w:color w:val="000000" w:themeColor="text1"/>
                <w:highlight w:val="none"/>
                <w14:textFill>
                  <w14:solidFill>
                    <w14:schemeClr w14:val="tx1"/>
                  </w14:solidFill>
                </w14:textFill>
              </w:rPr>
            </m:ctrlPr>
          </m:sSubSupPr>
          <m:e>
            <m:r>
              <m:rPr/>
              <w:rPr>
                <w:rFonts w:ascii="Cambria Math" w:hAnsi="Cambria Math" w:eastAsia="宋体" w:cs="Times New Roman"/>
                <w:color w:val="000000" w:themeColor="text1"/>
                <w:highlight w:val="none"/>
                <w14:textFill>
                  <w14:solidFill>
                    <w14:schemeClr w14:val="tx1"/>
                  </w14:solidFill>
                </w14:textFill>
              </w:rPr>
              <m:t>m</m:t>
            </m:r>
            <m:ctrlPr>
              <w:rPr>
                <w:rFonts w:ascii="Cambria Math" w:hAnsi="Cambria Math" w:eastAsia="宋体" w:cs="Times New Roman"/>
                <w:i/>
                <w:color w:val="000000" w:themeColor="text1"/>
                <w:highlight w:val="none"/>
                <w14:textFill>
                  <w14:solidFill>
                    <w14:schemeClr w14:val="tx1"/>
                  </w14:solidFill>
                </w14:textFill>
              </w:rPr>
            </m:ctrlPr>
          </m:e>
          <m:sub>
            <m:r>
              <m:rPr/>
              <w:rPr>
                <w:rFonts w:ascii="Cambria Math" w:hAnsi="Cambria Math" w:eastAsia="宋体" w:cs="Times New Roman"/>
                <w:color w:val="000000" w:themeColor="text1"/>
                <w:highlight w:val="none"/>
                <w14:textFill>
                  <w14:solidFill>
                    <w14:schemeClr w14:val="tx1"/>
                  </w14:solidFill>
                </w14:textFill>
              </w:rPr>
              <m:t>1</m:t>
            </m:r>
            <m:ctrlPr>
              <w:rPr>
                <w:rFonts w:ascii="Cambria Math" w:hAnsi="Cambria Math" w:eastAsia="宋体" w:cs="Times New Roman"/>
                <w:i/>
                <w:color w:val="000000" w:themeColor="text1"/>
                <w:highlight w:val="none"/>
                <w14:textFill>
                  <w14:solidFill>
                    <w14:schemeClr w14:val="tx1"/>
                  </w14:solidFill>
                </w14:textFill>
              </w:rPr>
            </m:ctrlPr>
          </m:sub>
          <m:sup>
            <m:r>
              <m:rPr/>
              <w:rPr>
                <w:rFonts w:ascii="Cambria Math" w:hAnsi="Cambria Math" w:eastAsia="MS Gothic" w:cs="Times New Roman"/>
                <w:color w:val="000000" w:themeColor="text1"/>
                <w:highlight w:val="none"/>
                <w14:textFill>
                  <w14:solidFill>
                    <w14:schemeClr w14:val="tx1"/>
                  </w14:solidFill>
                </w14:textFill>
              </w:rPr>
              <m:t>∗</m:t>
            </m:r>
            <m:ctrlPr>
              <w:rPr>
                <w:rFonts w:ascii="Cambria Math" w:hAnsi="Cambria Math" w:eastAsia="宋体" w:cs="Times New Roman"/>
                <w:i/>
                <w:color w:val="000000" w:themeColor="text1"/>
                <w:highlight w:val="none"/>
                <w14:textFill>
                  <w14:solidFill>
                    <w14:schemeClr w14:val="tx1"/>
                  </w14:solidFill>
                </w14:textFill>
              </w:rPr>
            </m:ctrlPr>
          </m:sup>
        </m:sSubSup>
        <m:r>
          <m:rPr>
            <m:sty m:val="p"/>
          </m:rPr>
          <w:rPr>
            <w:rFonts w:ascii="Cambria Math" w:hAnsi="Cambria Math" w:eastAsia="宋体" w:cs="Times New Roman"/>
            <w:color w:val="000000" w:themeColor="text1"/>
            <w:highlight w:val="none"/>
            <w14:textFill>
              <w14:solidFill>
                <w14:schemeClr w14:val="tx1"/>
              </w14:solidFill>
            </w14:textFill>
          </w:rPr>
          <m:t>(λ)</m:t>
        </m:r>
        <m:r>
          <m:rPr/>
          <w:rPr>
            <w:rFonts w:ascii="Cambria Math" w:hAnsi="Cambria Math" w:eastAsia="宋体" w:cs="Times New Roman"/>
            <w:color w:val="000000" w:themeColor="text1"/>
            <w:highlight w:val="none"/>
            <w14:textFill>
              <w14:solidFill>
                <w14:schemeClr w14:val="tx1"/>
              </w14:solidFill>
            </w14:textFill>
          </w:rPr>
          <m:t>∙</m:t>
        </m:r>
        <m:sSub>
          <m:sSubPr>
            <m:ctrlPr>
              <w:rPr>
                <w:rFonts w:ascii="Cambria Math" w:hAnsi="Cambria Math" w:cs="Times New Roman"/>
                <w:color w:val="000000" w:themeColor="text1"/>
                <w:highlight w:val="none"/>
                <w14:textFill>
                  <w14:solidFill>
                    <w14:schemeClr w14:val="tx1"/>
                  </w14:solidFill>
                </w14:textFill>
              </w:rPr>
            </m:ctrlPr>
          </m:sSubPr>
          <m:e>
            <m:r>
              <m:rPr/>
              <w:rPr>
                <w:rFonts w:ascii="Cambria Math" w:hAnsi="Cambria Math" w:cs="Times New Roman"/>
                <w:color w:val="000000" w:themeColor="text1"/>
                <w:highlight w:val="none"/>
                <w14:textFill>
                  <w14:solidFill>
                    <w14:schemeClr w14:val="tx1"/>
                  </w14:solidFill>
                </w14:textFill>
              </w:rPr>
              <m:t>c</m:t>
            </m:r>
            <m:ctrlPr>
              <w:rPr>
                <w:rFonts w:ascii="Cambria Math" w:hAnsi="Cambria Math" w:cs="Times New Roman"/>
                <w:color w:val="000000" w:themeColor="text1"/>
                <w:highlight w:val="none"/>
                <w14:textFill>
                  <w14:solidFill>
                    <w14:schemeClr w14:val="tx1"/>
                  </w14:solidFill>
                </w14:textFill>
              </w:rPr>
            </m:ctrlPr>
          </m:e>
          <m:sub>
            <m:r>
              <m:rPr/>
              <w:rPr>
                <w:rFonts w:ascii="Cambria Math" w:hAnsi="Cambria Math" w:cs="Times New Roman"/>
                <w:color w:val="000000" w:themeColor="text1"/>
                <w:highlight w:val="none"/>
                <w14:textFill>
                  <w14:solidFill>
                    <w14:schemeClr w14:val="tx1"/>
                  </w14:solidFill>
                </w14:textFill>
              </w:rPr>
              <m:t>1</m:t>
            </m:r>
            <m:ctrlPr>
              <w:rPr>
                <w:rFonts w:ascii="Cambria Math" w:hAnsi="Cambria Math" w:cs="Times New Roman"/>
                <w:color w:val="000000" w:themeColor="text1"/>
                <w:highlight w:val="none"/>
                <w14:textFill>
                  <w14:solidFill>
                    <w14:schemeClr w14:val="tx1"/>
                  </w14:solidFill>
                </w14:textFill>
              </w:rPr>
            </m:ctrlPr>
          </m:sub>
        </m:sSub>
        <m:r>
          <m:rPr/>
          <w:rPr>
            <w:rFonts w:ascii="Cambria Math" w:hAnsi="Cambria Math" w:cs="Times New Roman"/>
            <w:color w:val="000000" w:themeColor="text1"/>
            <w:highlight w:val="none"/>
            <w14:textFill>
              <w14:solidFill>
                <w14:schemeClr w14:val="tx1"/>
              </w14:solidFill>
            </w14:textFill>
          </w:rPr>
          <m:t>(λ)</m:t>
        </m:r>
      </m:oMath>
      <w:r>
        <w:rPr>
          <w:rFonts w:ascii="Times New Roman" w:hAnsi="Times New Roman" w:eastAsia="宋体" w:cs="Times New Roman"/>
          <w:color w:val="000000" w:themeColor="text1"/>
          <w:highlight w:val="none"/>
          <w14:textFill>
            <w14:solidFill>
              <w14:schemeClr w14:val="tx1"/>
            </w14:solidFill>
          </w14:textFill>
        </w:rPr>
        <w:t>，据此计算标准灯的</w:t>
      </w:r>
      <w:r>
        <w:rPr>
          <w:rFonts w:hint="eastAsia" w:ascii="Times New Roman" w:hAnsi="Times New Roman" w:cs="Times New Roman"/>
          <w:color w:val="000000" w:themeColor="text1"/>
          <w:highlight w:val="none"/>
          <w14:textFill>
            <w14:solidFill>
              <w14:schemeClr w14:val="tx1"/>
            </w14:solidFill>
          </w14:textFill>
        </w:rPr>
        <w:t>色温</w:t>
      </w:r>
      <w:r>
        <w:rPr>
          <w:rFonts w:ascii="Times New Roman" w:hAnsi="Times New Roman" w:cs="Times New Roman"/>
          <w:color w:val="000000" w:themeColor="text1"/>
          <w:highlight w:val="none"/>
          <w14:textFill>
            <w14:solidFill>
              <w14:schemeClr w14:val="tx1"/>
            </w14:solidFill>
          </w14:textFill>
        </w:rPr>
        <w:t>，与</w:t>
      </w:r>
      <w:r>
        <w:rPr>
          <w:rFonts w:hint="eastAsia" w:ascii="Times New Roman" w:hAnsi="Times New Roman" w:cs="Times New Roman"/>
          <w:color w:val="000000" w:themeColor="text1"/>
          <w:highlight w:val="none"/>
          <w14:textFill>
            <w14:solidFill>
              <w14:schemeClr w14:val="tx1"/>
            </w14:solidFill>
          </w14:textFill>
        </w:rPr>
        <w:t>其</w:t>
      </w:r>
      <w:r>
        <w:rPr>
          <w:rFonts w:ascii="Times New Roman" w:hAnsi="Times New Roman" w:cs="Times New Roman"/>
          <w:color w:val="000000" w:themeColor="text1"/>
          <w:highlight w:val="none"/>
          <w14:textFill>
            <w14:solidFill>
              <w14:schemeClr w14:val="tx1"/>
            </w14:solidFill>
          </w14:textFill>
        </w:rPr>
        <w:t>标准值相比，若</w:t>
      </w:r>
      <w:r>
        <w:rPr>
          <w:rFonts w:hint="eastAsia" w:ascii="Times New Roman" w:hAnsi="Times New Roman" w:cs="Times New Roman"/>
          <w:color w:val="000000" w:themeColor="text1"/>
          <w:highlight w:val="none"/>
          <w14:textFill>
            <w14:solidFill>
              <w14:schemeClr w14:val="tx1"/>
            </w14:solidFill>
          </w14:textFill>
        </w:rPr>
        <w:t>偏差</w:t>
      </w:r>
      <w:r>
        <w:rPr>
          <w:rFonts w:ascii="Times New Roman" w:hAnsi="Times New Roman" w:cs="Times New Roman"/>
          <w:color w:val="000000" w:themeColor="text1"/>
          <w:highlight w:val="none"/>
          <w14:textFill>
            <w14:solidFill>
              <w14:schemeClr w14:val="tx1"/>
            </w14:solidFill>
          </w14:textFill>
        </w:rPr>
        <w:t>不大于</w:t>
      </w:r>
      <w:r>
        <w:rPr>
          <w:rFonts w:hint="eastAsia" w:ascii="Times New Roman" w:hAnsi="Times New Roman" w:cs="Times New Roman"/>
          <w:color w:val="000000" w:themeColor="text1"/>
          <w:highlight w:val="none"/>
          <w14:textFill>
            <w14:solidFill>
              <w14:schemeClr w14:val="tx1"/>
            </w14:solidFill>
          </w14:textFill>
        </w:rPr>
        <w:t>6 K</w:t>
      </w:r>
      <w:r>
        <w:rPr>
          <w:rFonts w:ascii="Times New Roman" w:hAnsi="Times New Roman" w:cs="Times New Roman"/>
          <w:color w:val="000000" w:themeColor="text1"/>
          <w:highlight w:val="none"/>
          <w14:textFill>
            <w14:solidFill>
              <w14:schemeClr w14:val="tx1"/>
            </w14:solidFill>
          </w14:textFill>
        </w:rPr>
        <w:t>，则定标工作完成，</w:t>
      </w:r>
      <w:r>
        <w:rPr>
          <w:rFonts w:ascii="Times New Roman" w:hAnsi="Times New Roman" w:eastAsia="宋体" w:cs="Times New Roman"/>
          <w:color w:val="000000" w:themeColor="text1"/>
          <w:highlight w:val="none"/>
          <w14:textFill>
            <w14:solidFill>
              <w14:schemeClr w14:val="tx1"/>
            </w14:solidFill>
          </w14:textFill>
        </w:rPr>
        <w:t>否则应重新定标。</w:t>
      </w:r>
    </w:p>
    <w:p w14:paraId="338B33D6">
      <w:pPr>
        <w:spacing w:before="156" w:beforeLines="50"/>
        <w:ind w:firstLine="480" w:firstLineChars="200"/>
        <w:rPr>
          <w:rFonts w:eastAsia="宋体"/>
          <w:color w:val="000000" w:themeColor="text1"/>
          <w:highlight w:val="none"/>
          <w14:textFill>
            <w14:solidFill>
              <w14:schemeClr w14:val="tx1"/>
            </w14:solidFill>
          </w14:textFill>
        </w:rPr>
      </w:pPr>
      <w:r>
        <w:rPr>
          <w:rFonts w:hint="eastAsia" w:eastAsia="宋体"/>
          <w:color w:val="000000" w:themeColor="text1"/>
          <w:highlight w:val="none"/>
          <w14:textFill>
            <w14:solidFill>
              <w14:schemeClr w14:val="tx1"/>
            </w14:solidFill>
          </w14:textFill>
        </w:rPr>
        <w:t>d</w:t>
      </w:r>
      <w:r>
        <w:rPr>
          <w:rFonts w:eastAsia="宋体"/>
          <w:color w:val="000000" w:themeColor="text1"/>
          <w:highlight w:val="none"/>
          <w14:textFill>
            <w14:solidFill>
              <w14:schemeClr w14:val="tx1"/>
            </w14:solidFill>
          </w14:textFill>
        </w:rPr>
        <w:t xml:space="preserve">) </w:t>
      </w:r>
      <w:r>
        <w:rPr>
          <w:rFonts w:hint="eastAsia" w:eastAsia="宋体"/>
          <w:color w:val="000000" w:themeColor="text1"/>
          <w:highlight w:val="none"/>
          <w14:textFill>
            <w14:solidFill>
              <w14:schemeClr w14:val="tx1"/>
            </w14:solidFill>
          </w14:textFill>
        </w:rPr>
        <w:t>定标验证</w:t>
      </w:r>
    </w:p>
    <w:p w14:paraId="449FC459">
      <w:pPr>
        <w:ind w:firstLine="420"/>
        <w:rPr>
          <w:color w:val="FF0000"/>
          <w:highlight w:val="none"/>
        </w:rPr>
      </w:pPr>
      <w:r>
        <w:rPr>
          <w:rFonts w:eastAsia="宋体"/>
          <w:color w:val="000000" w:themeColor="text1"/>
          <w:highlight w:val="none"/>
          <w14:textFill>
            <w14:solidFill>
              <w14:schemeClr w14:val="tx1"/>
            </w14:solidFill>
          </w14:textFill>
        </w:rPr>
        <w:t>依次换用另外两只标准灯测量光电读数分别为：</w:t>
      </w:r>
      <w:r>
        <w:rPr>
          <w:rFonts w:eastAsia="宋体"/>
          <w:i/>
          <w:iCs/>
          <w:color w:val="000000" w:themeColor="text1"/>
          <w:highlight w:val="none"/>
          <w14:textFill>
            <w14:solidFill>
              <w14:schemeClr w14:val="tx1"/>
            </w14:solidFill>
          </w14:textFill>
        </w:rPr>
        <w:t>m</w:t>
      </w:r>
      <w:r>
        <w:rPr>
          <w:rFonts w:eastAsia="宋体"/>
          <w:color w:val="000000" w:themeColor="text1"/>
          <w:highlight w:val="none"/>
          <w:vertAlign w:val="subscript"/>
          <w14:textFill>
            <w14:solidFill>
              <w14:schemeClr w14:val="tx1"/>
            </w14:solidFill>
          </w14:textFill>
        </w:rPr>
        <w:t>2</w:t>
      </w:r>
      <w:r>
        <w:rPr>
          <w:rFonts w:eastAsia="宋体"/>
          <w:color w:val="000000" w:themeColor="text1"/>
          <w:highlight w:val="none"/>
          <w14:textFill>
            <w14:solidFill>
              <w14:schemeClr w14:val="tx1"/>
            </w14:solidFill>
          </w14:textFill>
        </w:rPr>
        <w:t>(λ)和</w:t>
      </w:r>
      <w:r>
        <w:rPr>
          <w:rFonts w:eastAsia="宋体"/>
          <w:i/>
          <w:iCs/>
          <w:color w:val="000000" w:themeColor="text1"/>
          <w:highlight w:val="none"/>
          <w14:textFill>
            <w14:solidFill>
              <w14:schemeClr w14:val="tx1"/>
            </w14:solidFill>
          </w14:textFill>
        </w:rPr>
        <w:t>m</w:t>
      </w:r>
      <w:r>
        <w:rPr>
          <w:rFonts w:eastAsia="宋体"/>
          <w:color w:val="000000" w:themeColor="text1"/>
          <w:highlight w:val="none"/>
          <w:vertAlign w:val="subscript"/>
          <w14:textFill>
            <w14:solidFill>
              <w14:schemeClr w14:val="tx1"/>
            </w14:solidFill>
          </w14:textFill>
        </w:rPr>
        <w:t>3</w:t>
      </w:r>
      <w:r>
        <w:rPr>
          <w:rFonts w:eastAsia="宋体"/>
          <w:color w:val="000000" w:themeColor="text1"/>
          <w:highlight w:val="none"/>
          <w14:textFill>
            <w14:solidFill>
              <w14:schemeClr w14:val="tx1"/>
            </w14:solidFill>
          </w14:textFill>
        </w:rPr>
        <w:t>(λ)，则两只标准灯的辐射</w:t>
      </w:r>
      <w:r>
        <w:rPr>
          <w:rFonts w:hint="eastAsia" w:eastAsia="宋体"/>
          <w:color w:val="000000" w:themeColor="text1"/>
          <w:highlight w:val="none"/>
          <w14:textFill>
            <w14:solidFill>
              <w14:schemeClr w14:val="tx1"/>
            </w14:solidFill>
          </w14:textFill>
        </w:rPr>
        <w:t>照度</w:t>
      </w:r>
      <w:r>
        <w:rPr>
          <w:rFonts w:eastAsia="宋体"/>
          <w:color w:val="000000" w:themeColor="text1"/>
          <w:highlight w:val="none"/>
          <w14:textFill>
            <w14:solidFill>
              <w14:schemeClr w14:val="tx1"/>
            </w14:solidFill>
          </w14:textFill>
        </w:rPr>
        <w:t>分别为</w:t>
      </w:r>
      <w:r>
        <w:rPr>
          <w:rFonts w:hint="eastAsia" w:eastAsia="宋体"/>
          <w:i/>
          <w:iCs/>
          <w:color w:val="000000" w:themeColor="text1"/>
          <w:highlight w:val="none"/>
          <w14:textFill>
            <w14:solidFill>
              <w14:schemeClr w14:val="tx1"/>
            </w14:solidFill>
          </w14:textFill>
        </w:rPr>
        <w:t>E</w:t>
      </w:r>
      <w:r>
        <w:rPr>
          <w:rFonts w:eastAsia="宋体"/>
          <w:color w:val="000000" w:themeColor="text1"/>
          <w:highlight w:val="none"/>
          <w:vertAlign w:val="subscript"/>
          <w14:textFill>
            <w14:solidFill>
              <w14:schemeClr w14:val="tx1"/>
            </w14:solidFill>
          </w14:textFill>
        </w:rPr>
        <w:t>2</w:t>
      </w:r>
      <w:r>
        <w:rPr>
          <w:rFonts w:eastAsia="宋体"/>
          <w:color w:val="000000" w:themeColor="text1"/>
          <w:highlight w:val="none"/>
          <w14:textFill>
            <w14:solidFill>
              <w14:schemeClr w14:val="tx1"/>
            </w14:solidFill>
          </w14:textFill>
        </w:rPr>
        <w:t>(λ) =</w:t>
      </w:r>
      <w:r>
        <w:rPr>
          <w:rFonts w:eastAsia="宋体"/>
          <w:i/>
          <w:iCs/>
          <w:color w:val="000000" w:themeColor="text1"/>
          <w:highlight w:val="none"/>
          <w14:textFill>
            <w14:solidFill>
              <w14:schemeClr w14:val="tx1"/>
            </w14:solidFill>
          </w14:textFill>
        </w:rPr>
        <w:t xml:space="preserve"> m</w:t>
      </w:r>
      <w:r>
        <w:rPr>
          <w:rFonts w:eastAsia="宋体"/>
          <w:color w:val="000000" w:themeColor="text1"/>
          <w:highlight w:val="none"/>
          <w:vertAlign w:val="subscript"/>
          <w14:textFill>
            <w14:solidFill>
              <w14:schemeClr w14:val="tx1"/>
            </w14:solidFill>
          </w14:textFill>
        </w:rPr>
        <w:t>2</w:t>
      </w:r>
      <w:r>
        <w:rPr>
          <w:rFonts w:eastAsia="宋体"/>
          <w:color w:val="000000" w:themeColor="text1"/>
          <w:highlight w:val="none"/>
          <w14:textFill>
            <w14:solidFill>
              <w14:schemeClr w14:val="tx1"/>
            </w14:solidFill>
          </w14:textFill>
        </w:rPr>
        <w:t>(λ)</w:t>
      </w:r>
      <w:r>
        <w:rPr>
          <w:rFonts w:eastAsia="宋体"/>
          <w:i/>
          <w:iCs/>
          <w:color w:val="000000" w:themeColor="text1"/>
          <w:highlight w:val="none"/>
          <w14:textFill>
            <w14:solidFill>
              <w14:schemeClr w14:val="tx1"/>
            </w14:solidFill>
          </w14:textFill>
        </w:rPr>
        <w:t>∙c</w:t>
      </w:r>
      <w:r>
        <w:rPr>
          <w:rFonts w:eastAsia="宋体"/>
          <w:color w:val="000000" w:themeColor="text1"/>
          <w:highlight w:val="none"/>
          <w:vertAlign w:val="subscript"/>
          <w14:textFill>
            <w14:solidFill>
              <w14:schemeClr w14:val="tx1"/>
            </w14:solidFill>
          </w14:textFill>
        </w:rPr>
        <w:t>1</w:t>
      </w:r>
      <w:r>
        <w:rPr>
          <w:rFonts w:eastAsia="宋体"/>
          <w:color w:val="000000" w:themeColor="text1"/>
          <w:highlight w:val="none"/>
          <w14:textFill>
            <w14:solidFill>
              <w14:schemeClr w14:val="tx1"/>
            </w14:solidFill>
          </w14:textFill>
        </w:rPr>
        <w:t>(λ)和</w:t>
      </w:r>
      <w:r>
        <w:rPr>
          <w:rFonts w:hint="eastAsia" w:eastAsia="宋体"/>
          <w:i/>
          <w:iCs/>
          <w:color w:val="000000" w:themeColor="text1"/>
          <w:highlight w:val="none"/>
          <w14:textFill>
            <w14:solidFill>
              <w14:schemeClr w14:val="tx1"/>
            </w14:solidFill>
          </w14:textFill>
        </w:rPr>
        <w:t>E</w:t>
      </w:r>
      <w:r>
        <w:rPr>
          <w:rFonts w:eastAsia="宋体"/>
          <w:color w:val="000000" w:themeColor="text1"/>
          <w:highlight w:val="none"/>
          <w:vertAlign w:val="subscript"/>
          <w14:textFill>
            <w14:solidFill>
              <w14:schemeClr w14:val="tx1"/>
            </w14:solidFill>
          </w14:textFill>
        </w:rPr>
        <w:t>3</w:t>
      </w:r>
      <w:r>
        <w:rPr>
          <w:rFonts w:eastAsia="宋体"/>
          <w:color w:val="000000" w:themeColor="text1"/>
          <w:highlight w:val="none"/>
          <w14:textFill>
            <w14:solidFill>
              <w14:schemeClr w14:val="tx1"/>
            </w14:solidFill>
          </w14:textFill>
        </w:rPr>
        <w:t>(λ) =</w:t>
      </w:r>
      <w:r>
        <w:rPr>
          <w:rFonts w:eastAsia="宋体"/>
          <w:i/>
          <w:iCs/>
          <w:color w:val="000000" w:themeColor="text1"/>
          <w:highlight w:val="none"/>
          <w14:textFill>
            <w14:solidFill>
              <w14:schemeClr w14:val="tx1"/>
            </w14:solidFill>
          </w14:textFill>
        </w:rPr>
        <w:t xml:space="preserve"> m</w:t>
      </w:r>
      <w:r>
        <w:rPr>
          <w:rFonts w:eastAsia="宋体"/>
          <w:color w:val="000000" w:themeColor="text1"/>
          <w:highlight w:val="none"/>
          <w:vertAlign w:val="subscript"/>
          <w14:textFill>
            <w14:solidFill>
              <w14:schemeClr w14:val="tx1"/>
            </w14:solidFill>
          </w14:textFill>
        </w:rPr>
        <w:t>3</w:t>
      </w:r>
      <w:r>
        <w:rPr>
          <w:rFonts w:eastAsia="宋体"/>
          <w:color w:val="000000" w:themeColor="text1"/>
          <w:highlight w:val="none"/>
          <w14:textFill>
            <w14:solidFill>
              <w14:schemeClr w14:val="tx1"/>
            </w14:solidFill>
          </w14:textFill>
        </w:rPr>
        <w:t>(λ)</w:t>
      </w:r>
      <w:r>
        <w:rPr>
          <w:rFonts w:eastAsia="宋体"/>
          <w:i/>
          <w:iCs/>
          <w:color w:val="000000" w:themeColor="text1"/>
          <w:highlight w:val="none"/>
          <w14:textFill>
            <w14:solidFill>
              <w14:schemeClr w14:val="tx1"/>
            </w14:solidFill>
          </w14:textFill>
        </w:rPr>
        <w:t>∙c</w:t>
      </w:r>
      <w:r>
        <w:rPr>
          <w:rFonts w:eastAsia="宋体"/>
          <w:color w:val="000000" w:themeColor="text1"/>
          <w:highlight w:val="none"/>
          <w:vertAlign w:val="subscript"/>
          <w14:textFill>
            <w14:solidFill>
              <w14:schemeClr w14:val="tx1"/>
            </w14:solidFill>
          </w14:textFill>
        </w:rPr>
        <w:t>1</w:t>
      </w:r>
      <w:r>
        <w:rPr>
          <w:rFonts w:eastAsia="宋体"/>
          <w:color w:val="000000" w:themeColor="text1"/>
          <w:highlight w:val="none"/>
          <w14:textFill>
            <w14:solidFill>
              <w14:schemeClr w14:val="tx1"/>
            </w14:solidFill>
          </w14:textFill>
        </w:rPr>
        <w:t>(λ)。计算它们的</w:t>
      </w:r>
      <w:r>
        <w:rPr>
          <w:rFonts w:hint="eastAsia"/>
          <w:color w:val="000000" w:themeColor="text1"/>
          <w:highlight w:val="none"/>
          <w14:textFill>
            <w14:solidFill>
              <w14:schemeClr w14:val="tx1"/>
            </w14:solidFill>
          </w14:textFill>
        </w:rPr>
        <w:t>色温，若与其</w:t>
      </w:r>
      <w:r>
        <w:rPr>
          <w:color w:val="000000" w:themeColor="text1"/>
          <w:highlight w:val="none"/>
          <w14:textFill>
            <w14:solidFill>
              <w14:schemeClr w14:val="tx1"/>
            </w14:solidFill>
          </w14:textFill>
        </w:rPr>
        <w:t>额定值的偏差不大于</w:t>
      </w:r>
      <w:r>
        <w:rPr>
          <w:rFonts w:hint="eastAsia"/>
          <w:color w:val="000000" w:themeColor="text1"/>
          <w:highlight w:val="none"/>
          <w14:textFill>
            <w14:solidFill>
              <w14:schemeClr w14:val="tx1"/>
            </w14:solidFill>
          </w14:textFill>
        </w:rPr>
        <w:t>6 K，则完成验证</w:t>
      </w:r>
      <w:r>
        <w:rPr>
          <w:color w:val="000000" w:themeColor="text1"/>
          <w:highlight w:val="none"/>
          <w14:textFill>
            <w14:solidFill>
              <w14:schemeClr w14:val="tx1"/>
            </w14:solidFill>
          </w14:textFill>
        </w:rPr>
        <w:t>。</w:t>
      </w:r>
      <w:r>
        <w:rPr>
          <w:rFonts w:hint="eastAsia" w:eastAsia="宋体"/>
          <w:color w:val="000000" w:themeColor="text1"/>
          <w:highlight w:val="none"/>
          <w14:textFill>
            <w14:solidFill>
              <w14:schemeClr w14:val="tx1"/>
            </w14:solidFill>
          </w14:textFill>
        </w:rPr>
        <w:t>否</w:t>
      </w:r>
      <w:r>
        <w:rPr>
          <w:rFonts w:eastAsia="宋体"/>
          <w:color w:val="000000" w:themeColor="text1"/>
          <w:highlight w:val="none"/>
          <w14:textFill>
            <w14:solidFill>
              <w14:schemeClr w14:val="tx1"/>
            </w14:solidFill>
          </w14:textFill>
        </w:rPr>
        <w:t>则另换一只标准灯进行验证，或重新标定</w:t>
      </w:r>
      <w:r>
        <w:rPr>
          <w:rFonts w:hint="eastAsia" w:eastAsia="宋体"/>
          <w:color w:val="000000" w:themeColor="text1"/>
          <w:highlight w:val="none"/>
          <w14:textFill>
            <w14:solidFill>
              <w14:schemeClr w14:val="tx1"/>
            </w14:solidFill>
          </w14:textFill>
        </w:rPr>
        <w:t>光谱辐射计</w:t>
      </w:r>
      <w:r>
        <w:rPr>
          <w:rFonts w:eastAsia="宋体"/>
          <w:color w:val="000000" w:themeColor="text1"/>
          <w:highlight w:val="none"/>
          <w14:textFill>
            <w14:solidFill>
              <w14:schemeClr w14:val="tx1"/>
            </w14:solidFill>
          </w14:textFill>
        </w:rPr>
        <w:t>，直到用一只灯定标</w:t>
      </w:r>
      <w:r>
        <w:rPr>
          <w:rFonts w:eastAsia="宋体"/>
          <w:color w:val="000000" w:themeColor="text1"/>
          <w:highlight w:val="none"/>
          <w14:textFill>
            <w14:solidFill>
              <w14:schemeClr w14:val="tx1"/>
            </w14:solidFill>
          </w14:textFill>
        </w:rPr>
        <w:t>光谱辐射计</w:t>
      </w:r>
      <w:r>
        <w:rPr>
          <w:rFonts w:hint="eastAsia" w:eastAsia="宋体"/>
          <w:color w:val="000000" w:themeColor="text1"/>
          <w:highlight w:val="none"/>
          <w14:textFill>
            <w14:solidFill>
              <w14:schemeClr w14:val="tx1"/>
            </w14:solidFill>
          </w14:textFill>
        </w:rPr>
        <w:t>，</w:t>
      </w:r>
      <w:r>
        <w:rPr>
          <w:rFonts w:eastAsia="宋体"/>
          <w:color w:val="000000" w:themeColor="text1"/>
          <w:highlight w:val="none"/>
          <w14:textFill>
            <w14:solidFill>
              <w14:schemeClr w14:val="tx1"/>
            </w14:solidFill>
          </w14:textFill>
        </w:rPr>
        <w:t>测量另外两只标准灯</w:t>
      </w:r>
      <w:r>
        <w:rPr>
          <w:rFonts w:hint="eastAsia" w:eastAsia="宋体"/>
          <w:color w:val="000000" w:themeColor="text1"/>
          <w:highlight w:val="none"/>
          <w14:textFill>
            <w14:solidFill>
              <w14:schemeClr w14:val="tx1"/>
            </w14:solidFill>
          </w14:textFill>
        </w:rPr>
        <w:t>，两只标准灯的色温</w:t>
      </w:r>
      <w:r>
        <w:rPr>
          <w:rFonts w:eastAsia="宋体"/>
          <w:color w:val="000000" w:themeColor="text1"/>
          <w:highlight w:val="none"/>
          <w14:textFill>
            <w14:solidFill>
              <w14:schemeClr w14:val="tx1"/>
            </w14:solidFill>
          </w14:textFill>
        </w:rPr>
        <w:t>与它们额定值的偏差不大于</w:t>
      </w:r>
      <w:r>
        <w:rPr>
          <w:rFonts w:hint="eastAsia"/>
          <w:color w:val="000000" w:themeColor="text1"/>
          <w:highlight w:val="none"/>
          <w14:textFill>
            <w14:solidFill>
              <w14:schemeClr w14:val="tx1"/>
            </w14:solidFill>
          </w14:textFill>
        </w:rPr>
        <w:t>6 K</w:t>
      </w:r>
      <w:r>
        <w:rPr>
          <w:color w:val="000000" w:themeColor="text1"/>
          <w:highlight w:val="none"/>
          <w14:textFill>
            <w14:solidFill>
              <w14:schemeClr w14:val="tx1"/>
            </w14:solidFill>
          </w14:textFill>
        </w:rPr>
        <w:t>。</w:t>
      </w:r>
      <w:bookmarkEnd w:id="35"/>
    </w:p>
    <w:p w14:paraId="403C6645">
      <w:pPr>
        <w:spacing w:before="156" w:beforeLines="50"/>
        <w:ind w:firstLine="480" w:firstLineChars="200"/>
        <w:rPr>
          <w:highlight w:val="none"/>
        </w:rPr>
      </w:pPr>
      <w:r>
        <w:rPr>
          <w:rFonts w:hint="eastAsia"/>
          <w:highlight w:val="none"/>
        </w:rPr>
        <w:t>e)</w:t>
      </w:r>
      <w:r>
        <w:rPr>
          <w:highlight w:val="none"/>
        </w:rPr>
        <w:t xml:space="preserve"> </w:t>
      </w:r>
      <w:r>
        <w:rPr>
          <w:rFonts w:hint="eastAsia"/>
          <w:highlight w:val="none"/>
        </w:rPr>
        <w:t>校准步骤</w:t>
      </w:r>
    </w:p>
    <w:p w14:paraId="5FDDDDA9">
      <w:pPr>
        <w:ind w:firstLine="480" w:firstLineChars="200"/>
        <w:textAlignment w:val="baseline"/>
        <w:rPr>
          <w:highlight w:val="none"/>
        </w:rPr>
      </w:pPr>
      <w:r>
        <w:rPr>
          <w:highlight w:val="none"/>
        </w:rPr>
        <w:t>将被测灯安装在</w:t>
      </w:r>
      <w:r>
        <w:rPr>
          <w:rFonts w:hint="eastAsia"/>
          <w:highlight w:val="none"/>
        </w:rPr>
        <w:t>显色指数测量装置</w:t>
      </w:r>
      <w:r>
        <w:rPr>
          <w:highlight w:val="none"/>
        </w:rPr>
        <w:t>上，按规定的电参数供电，被测</w:t>
      </w:r>
      <w:r>
        <w:rPr>
          <w:rFonts w:hint="eastAsia"/>
          <w:highlight w:val="none"/>
        </w:rPr>
        <w:t>灯</w:t>
      </w:r>
      <w:r>
        <w:rPr>
          <w:highlight w:val="none"/>
        </w:rPr>
        <w:t>和标准</w:t>
      </w:r>
      <w:r>
        <w:rPr>
          <w:rFonts w:hint="eastAsia"/>
          <w:highlight w:val="none"/>
        </w:rPr>
        <w:t>灯</w:t>
      </w:r>
      <w:r>
        <w:rPr>
          <w:highlight w:val="none"/>
        </w:rPr>
        <w:t>应当以相同的几何条件将光线入射，且应均匀照满</w:t>
      </w:r>
      <w:r>
        <w:rPr>
          <w:rFonts w:hint="eastAsia"/>
          <w:highlight w:val="none"/>
        </w:rPr>
        <w:t>光谱辐射计</w:t>
      </w:r>
      <w:r>
        <w:rPr>
          <w:highlight w:val="none"/>
        </w:rPr>
        <w:t>的入射狭缝</w:t>
      </w:r>
      <w:r>
        <w:rPr>
          <w:rFonts w:hint="eastAsia"/>
          <w:highlight w:val="none"/>
        </w:rPr>
        <w:t>或探头</w:t>
      </w:r>
      <w:r>
        <w:rPr>
          <w:highlight w:val="none"/>
        </w:rPr>
        <w:t>。待发光稳定后，记录电参数值，并由</w:t>
      </w:r>
      <w:r>
        <w:rPr>
          <w:highlight w:val="none"/>
        </w:rPr>
        <w:t>光谱辐射计</w:t>
      </w:r>
      <w:r>
        <w:rPr>
          <w:highlight w:val="none"/>
        </w:rPr>
        <w:t>测得在选定的波长点的光电读数并得到被测灯在相应波长点的辐射</w:t>
      </w:r>
      <w:r>
        <w:rPr>
          <w:rFonts w:hint="eastAsia"/>
          <w:highlight w:val="none"/>
        </w:rPr>
        <w:t>照度</w:t>
      </w:r>
      <w:r>
        <w:rPr>
          <w:highlight w:val="none"/>
        </w:rPr>
        <w:t>的相对光谱密集度</w:t>
      </w:r>
      <w:r>
        <w:rPr>
          <w:rFonts w:hint="eastAsia" w:eastAsia="宋体"/>
          <w:i/>
          <w:iCs/>
          <w:highlight w:val="none"/>
        </w:rPr>
        <w:t>E</w:t>
      </w:r>
      <w:r>
        <w:rPr>
          <w:highlight w:val="none"/>
        </w:rPr>
        <w:t>(λ)。根据</w:t>
      </w:r>
      <w:r>
        <w:rPr>
          <w:rFonts w:hint="eastAsia" w:eastAsia="宋体"/>
          <w:i/>
          <w:iCs/>
          <w:highlight w:val="none"/>
        </w:rPr>
        <w:t>E</w:t>
      </w:r>
      <w:r>
        <w:rPr>
          <w:highlight w:val="none"/>
        </w:rPr>
        <w:t>(λ)用</w:t>
      </w:r>
      <w:r>
        <w:rPr>
          <w:rFonts w:hint="eastAsia"/>
          <w:highlight w:val="none"/>
        </w:rPr>
        <w:t>附录C</w:t>
      </w:r>
      <w:r>
        <w:rPr>
          <w:highlight w:val="none"/>
        </w:rPr>
        <w:t>中的方法计算被测灯的显色指数。</w:t>
      </w:r>
    </w:p>
    <w:p w14:paraId="53847D46">
      <w:pPr>
        <w:ind w:firstLine="480"/>
        <w:rPr>
          <w:color w:val="000000"/>
          <w:highlight w:val="none"/>
        </w:rPr>
      </w:pPr>
      <w:r>
        <w:rPr>
          <w:rFonts w:hint="eastAsia"/>
          <w:color w:val="000000"/>
          <w:highlight w:val="none"/>
        </w:rPr>
        <w:t>测量应进行2次，第一次测量完成后，应使得被测灯冷却至室温再进行第二次测量。第二次测量应重新安装和调整被测灯，显色指数两次测量相差不大于0.2。若超差，则应增加测量次数，剔除偏差大的测量值，直到保证两次测量相差不大于0.2。最后取2次测量结果的平均值作为最终给出的校准值。</w:t>
      </w:r>
    </w:p>
    <w:p w14:paraId="6C247359">
      <w:pPr>
        <w:ind w:firstLine="480"/>
        <w:rPr>
          <w:color w:val="000000"/>
          <w:highlight w:val="none"/>
        </w:rPr>
      </w:pPr>
      <w:r>
        <w:rPr>
          <w:rFonts w:hint="eastAsia"/>
          <w:color w:val="000000"/>
          <w:highlight w:val="none"/>
        </w:rPr>
        <w:t>对于校准结果，一般显色指数应给出3位或4位有效数字。</w:t>
      </w:r>
    </w:p>
    <w:p w14:paraId="22BBF652">
      <w:pPr>
        <w:spacing w:before="156" w:beforeLines="50"/>
        <w:rPr>
          <w:highlight w:val="none"/>
        </w:rPr>
      </w:pPr>
      <w:r>
        <w:rPr>
          <w:rFonts w:hint="eastAsia"/>
          <w:highlight w:val="none"/>
        </w:rPr>
        <w:t>7</w:t>
      </w:r>
      <w:r>
        <w:rPr>
          <w:highlight w:val="none"/>
        </w:rPr>
        <w:t xml:space="preserve">.2.2 </w:t>
      </w:r>
      <w:r>
        <w:rPr>
          <w:rFonts w:hint="eastAsia"/>
          <w:highlight w:val="none"/>
        </w:rPr>
        <w:t>采用积分球的光源显色指数校准方法</w:t>
      </w:r>
    </w:p>
    <w:p w14:paraId="1FE561A3">
      <w:pPr>
        <w:spacing w:before="156" w:beforeLines="50"/>
        <w:ind w:firstLine="480" w:firstLineChars="200"/>
        <w:rPr>
          <w:highlight w:val="none"/>
        </w:rPr>
      </w:pPr>
      <w:r>
        <w:rPr>
          <w:rFonts w:hint="eastAsia"/>
          <w:highlight w:val="none"/>
        </w:rPr>
        <w:t>a</w:t>
      </w:r>
      <w:r>
        <w:rPr>
          <w:highlight w:val="none"/>
        </w:rPr>
        <w:t>) 校准前检查</w:t>
      </w:r>
    </w:p>
    <w:p w14:paraId="3DDF6662">
      <w:pPr>
        <w:ind w:firstLine="420"/>
        <w:rPr>
          <w:highlight w:val="none"/>
        </w:rPr>
      </w:pPr>
      <w:r>
        <w:rPr>
          <w:rFonts w:hint="eastAsia"/>
          <w:highlight w:val="none"/>
        </w:rPr>
        <w:t>同7</w:t>
      </w:r>
      <w:r>
        <w:rPr>
          <w:highlight w:val="none"/>
        </w:rPr>
        <w:t xml:space="preserve">.2.1 </w:t>
      </w:r>
      <w:r>
        <w:rPr>
          <w:rFonts w:hint="eastAsia"/>
          <w:highlight w:val="none"/>
        </w:rPr>
        <w:t>a)</w:t>
      </w:r>
      <w:r>
        <w:rPr>
          <w:rStyle w:val="20"/>
          <w:rFonts w:hint="default" w:ascii="Times New Roman" w:hAnsi="Times New Roman"/>
          <w:highlight w:val="none"/>
        </w:rPr>
        <w:t>。</w:t>
      </w:r>
    </w:p>
    <w:p w14:paraId="3E6791F9">
      <w:pPr>
        <w:spacing w:before="156" w:beforeLines="50"/>
        <w:ind w:firstLine="480" w:firstLineChars="200"/>
        <w:rPr>
          <w:highlight w:val="none"/>
        </w:rPr>
      </w:pPr>
      <w:r>
        <w:rPr>
          <w:highlight w:val="none"/>
        </w:rPr>
        <w:t>b) 校准前准备</w:t>
      </w:r>
    </w:p>
    <w:p w14:paraId="2657C52A">
      <w:pPr>
        <w:ind w:firstLine="420"/>
        <w:rPr>
          <w:highlight w:val="none"/>
        </w:rPr>
      </w:pPr>
      <w:r>
        <w:rPr>
          <w:rFonts w:eastAsia="宋体"/>
          <w:color w:val="000000"/>
          <w:highlight w:val="none"/>
        </w:rPr>
        <w:t>积分球内点燃一只（50</w:t>
      </w:r>
      <w:r>
        <w:rPr>
          <w:color w:val="000000"/>
          <w:highlight w:val="none"/>
        </w:rPr>
        <w:t>~</w:t>
      </w:r>
      <w:r>
        <w:rPr>
          <w:rFonts w:eastAsia="宋体"/>
          <w:color w:val="000000"/>
          <w:highlight w:val="none"/>
        </w:rPr>
        <w:t>200）W的灯泡，预照积分球30分钟以上</w:t>
      </w:r>
      <w:r>
        <w:rPr>
          <w:rStyle w:val="20"/>
          <w:rFonts w:hint="default" w:ascii="Times New Roman" w:hAnsi="Times New Roman"/>
          <w:highlight w:val="none"/>
        </w:rPr>
        <w:t>。电测仪表</w:t>
      </w:r>
      <w:r>
        <w:rPr>
          <w:highlight w:val="none"/>
        </w:rPr>
        <w:t>、</w:t>
      </w:r>
      <w:r>
        <w:rPr>
          <w:highlight w:val="none"/>
        </w:rPr>
        <w:t>光谱辐射计</w:t>
      </w:r>
      <w:r>
        <w:rPr>
          <w:highlight w:val="none"/>
        </w:rPr>
        <w:t>开机预热30分钟以上。</w:t>
      </w:r>
    </w:p>
    <w:p w14:paraId="1033AF95">
      <w:pPr>
        <w:spacing w:before="156" w:beforeLines="50"/>
        <w:ind w:firstLine="480" w:firstLineChars="200"/>
        <w:rPr>
          <w:highlight w:val="none"/>
        </w:rPr>
      </w:pPr>
      <w:r>
        <w:rPr>
          <w:highlight w:val="none"/>
        </w:rPr>
        <w:t>c) 光谱辐射计定标</w:t>
      </w:r>
    </w:p>
    <w:p w14:paraId="0A180EB7">
      <w:pPr>
        <w:ind w:firstLine="420"/>
        <w:rPr>
          <w:highlight w:val="none"/>
        </w:rPr>
      </w:pPr>
      <w:r>
        <w:rPr>
          <w:color w:val="000000" w:themeColor="text1"/>
          <w:highlight w:val="none"/>
          <w14:textFill>
            <w14:solidFill>
              <w14:schemeClr w14:val="tx1"/>
            </w14:solidFill>
          </w14:textFill>
        </w:rPr>
        <w:t>点燃</w:t>
      </w:r>
      <w:r>
        <w:rPr>
          <w:rFonts w:eastAsia="宋体"/>
          <w:color w:val="000000" w:themeColor="text1"/>
          <w:highlight w:val="none"/>
          <w14:textFill>
            <w14:solidFill>
              <w14:schemeClr w14:val="tx1"/>
            </w14:solidFill>
          </w14:textFill>
        </w:rPr>
        <w:t>一只</w:t>
      </w:r>
      <w:r>
        <w:rPr>
          <w:rFonts w:hint="eastAsia" w:eastAsia="宋体"/>
          <w:color w:val="000000" w:themeColor="text1"/>
          <w:highlight w:val="none"/>
          <w14:textFill>
            <w14:solidFill>
              <w14:schemeClr w14:val="tx1"/>
            </w14:solidFill>
          </w14:textFill>
        </w:rPr>
        <w:t>平均颜色</w:t>
      </w:r>
      <w:r>
        <w:rPr>
          <w:rFonts w:eastAsia="宋体"/>
          <w:color w:val="000000" w:themeColor="text1"/>
          <w:highlight w:val="none"/>
          <w14:textFill>
            <w14:solidFill>
              <w14:schemeClr w14:val="tx1"/>
            </w14:solidFill>
          </w14:textFill>
        </w:rPr>
        <w:t>标准灯，</w:t>
      </w:r>
      <w:r>
        <w:rPr>
          <w:rFonts w:hint="eastAsia" w:eastAsia="宋体"/>
          <w:color w:val="000000" w:themeColor="text1"/>
          <w:highlight w:val="none"/>
          <w14:textFill>
            <w14:solidFill>
              <w14:schemeClr w14:val="tx1"/>
            </w14:solidFill>
          </w14:textFill>
        </w:rPr>
        <w:t>参照</w:t>
      </w:r>
      <w:r>
        <w:rPr>
          <w:rFonts w:hint="eastAsia"/>
          <w:highlight w:val="none"/>
        </w:rPr>
        <w:t>7</w:t>
      </w:r>
      <w:r>
        <w:rPr>
          <w:highlight w:val="none"/>
        </w:rPr>
        <w:t xml:space="preserve">.2.1 </w:t>
      </w:r>
      <w:r>
        <w:rPr>
          <w:rFonts w:hint="eastAsia"/>
          <w:highlight w:val="none"/>
        </w:rPr>
        <w:t>c)操作，计算此标准灯的平均颜色温度，</w:t>
      </w:r>
      <w:r>
        <w:rPr>
          <w:color w:val="000000" w:themeColor="text1"/>
          <w:highlight w:val="none"/>
          <w14:textFill>
            <w14:solidFill>
              <w14:schemeClr w14:val="tx1"/>
            </w14:solidFill>
          </w14:textFill>
        </w:rPr>
        <w:t>与</w:t>
      </w:r>
      <w:r>
        <w:rPr>
          <w:rFonts w:hint="eastAsia"/>
          <w:color w:val="000000" w:themeColor="text1"/>
          <w:highlight w:val="none"/>
          <w14:textFill>
            <w14:solidFill>
              <w14:schemeClr w14:val="tx1"/>
            </w14:solidFill>
          </w14:textFill>
        </w:rPr>
        <w:t>其</w:t>
      </w:r>
      <w:r>
        <w:rPr>
          <w:color w:val="000000" w:themeColor="text1"/>
          <w:highlight w:val="none"/>
          <w14:textFill>
            <w14:solidFill>
              <w14:schemeClr w14:val="tx1"/>
            </w14:solidFill>
          </w14:textFill>
        </w:rPr>
        <w:t>标准值相比，若</w:t>
      </w:r>
      <w:r>
        <w:rPr>
          <w:rFonts w:hint="eastAsia"/>
          <w:color w:val="000000" w:themeColor="text1"/>
          <w:highlight w:val="none"/>
          <w14:textFill>
            <w14:solidFill>
              <w14:schemeClr w14:val="tx1"/>
            </w14:solidFill>
          </w14:textFill>
        </w:rPr>
        <w:t>偏差</w:t>
      </w:r>
      <w:r>
        <w:rPr>
          <w:color w:val="000000" w:themeColor="text1"/>
          <w:highlight w:val="none"/>
          <w14:textFill>
            <w14:solidFill>
              <w14:schemeClr w14:val="tx1"/>
            </w14:solidFill>
          </w14:textFill>
        </w:rPr>
        <w:t>不大于</w:t>
      </w:r>
      <w:r>
        <w:rPr>
          <w:rFonts w:hint="eastAsia"/>
          <w:color w:val="000000" w:themeColor="text1"/>
          <w:highlight w:val="none"/>
          <w14:textFill>
            <w14:solidFill>
              <w14:schemeClr w14:val="tx1"/>
            </w14:solidFill>
          </w14:textFill>
        </w:rPr>
        <w:t>2 K</w:t>
      </w:r>
      <w:r>
        <w:rPr>
          <w:color w:val="000000" w:themeColor="text1"/>
          <w:highlight w:val="none"/>
          <w14:textFill>
            <w14:solidFill>
              <w14:schemeClr w14:val="tx1"/>
            </w14:solidFill>
          </w14:textFill>
        </w:rPr>
        <w:t>，则定标工作完成，</w:t>
      </w:r>
      <w:r>
        <w:rPr>
          <w:rFonts w:eastAsia="宋体"/>
          <w:color w:val="000000" w:themeColor="text1"/>
          <w:highlight w:val="none"/>
          <w14:textFill>
            <w14:solidFill>
              <w14:schemeClr w14:val="tx1"/>
            </w14:solidFill>
          </w14:textFill>
        </w:rPr>
        <w:t>否则应重新定标</w:t>
      </w:r>
      <w:r>
        <w:rPr>
          <w:rStyle w:val="20"/>
          <w:rFonts w:hint="default" w:ascii="Times New Roman" w:hAnsi="Times New Roman"/>
          <w:highlight w:val="none"/>
        </w:rPr>
        <w:t>。</w:t>
      </w:r>
    </w:p>
    <w:p w14:paraId="29150A2D">
      <w:pPr>
        <w:spacing w:before="156" w:beforeLines="50"/>
        <w:ind w:firstLine="480" w:firstLineChars="200"/>
        <w:rPr>
          <w:rFonts w:eastAsia="宋体"/>
          <w:color w:val="000000" w:themeColor="text1"/>
          <w:highlight w:val="none"/>
          <w14:textFill>
            <w14:solidFill>
              <w14:schemeClr w14:val="tx1"/>
            </w14:solidFill>
          </w14:textFill>
        </w:rPr>
      </w:pPr>
      <w:r>
        <w:rPr>
          <w:rFonts w:hint="eastAsia"/>
          <w:highlight w:val="none"/>
        </w:rPr>
        <w:t>d</w:t>
      </w:r>
      <w:r>
        <w:rPr>
          <w:highlight w:val="none"/>
        </w:rPr>
        <w:t xml:space="preserve">) </w:t>
      </w:r>
      <w:r>
        <w:rPr>
          <w:rFonts w:hint="eastAsia" w:eastAsia="宋体"/>
          <w:color w:val="000000" w:themeColor="text1"/>
          <w:highlight w:val="none"/>
          <w14:textFill>
            <w14:solidFill>
              <w14:schemeClr w14:val="tx1"/>
            </w14:solidFill>
          </w14:textFill>
        </w:rPr>
        <w:t>定标验证</w:t>
      </w:r>
    </w:p>
    <w:p w14:paraId="2FD631E0">
      <w:pPr>
        <w:ind w:firstLine="420"/>
        <w:rPr>
          <w:highlight w:val="none"/>
        </w:rPr>
      </w:pPr>
      <w:r>
        <w:rPr>
          <w:rFonts w:hint="eastAsia"/>
          <w:highlight w:val="none"/>
        </w:rPr>
        <w:t>同7</w:t>
      </w:r>
      <w:r>
        <w:rPr>
          <w:highlight w:val="none"/>
        </w:rPr>
        <w:t xml:space="preserve">.2.1 </w:t>
      </w:r>
      <w:r>
        <w:rPr>
          <w:rFonts w:hint="eastAsia"/>
          <w:highlight w:val="none"/>
        </w:rPr>
        <w:t>d)，标准灯的平均颜色温度测量计算值与其标准值偏差不大于2 K</w:t>
      </w:r>
      <w:r>
        <w:rPr>
          <w:rStyle w:val="20"/>
          <w:rFonts w:hint="default" w:ascii="Times New Roman" w:hAnsi="Times New Roman"/>
          <w:highlight w:val="none"/>
        </w:rPr>
        <w:t>。</w:t>
      </w:r>
    </w:p>
    <w:p w14:paraId="12A58884">
      <w:pPr>
        <w:spacing w:before="156" w:beforeLines="50"/>
        <w:ind w:firstLine="480" w:firstLineChars="200"/>
        <w:rPr>
          <w:highlight w:val="none"/>
        </w:rPr>
      </w:pPr>
      <w:r>
        <w:rPr>
          <w:rFonts w:hint="eastAsia" w:eastAsia="宋体"/>
          <w:color w:val="000000" w:themeColor="text1"/>
          <w:highlight w:val="none"/>
          <w14:textFill>
            <w14:solidFill>
              <w14:schemeClr w14:val="tx1"/>
            </w14:solidFill>
          </w14:textFill>
        </w:rPr>
        <w:t>e</w:t>
      </w:r>
      <w:r>
        <w:rPr>
          <w:rFonts w:eastAsia="宋体"/>
          <w:color w:val="000000" w:themeColor="text1"/>
          <w:highlight w:val="none"/>
          <w14:textFill>
            <w14:solidFill>
              <w14:schemeClr w14:val="tx1"/>
            </w14:solidFill>
          </w14:textFill>
        </w:rPr>
        <w:t xml:space="preserve">) </w:t>
      </w:r>
      <w:r>
        <w:rPr>
          <w:rFonts w:hint="eastAsia"/>
          <w:highlight w:val="none"/>
        </w:rPr>
        <w:t>校准步骤</w:t>
      </w:r>
    </w:p>
    <w:p w14:paraId="412E27DC">
      <w:pPr>
        <w:ind w:firstLine="420"/>
        <w:rPr>
          <w:highlight w:val="none"/>
        </w:rPr>
      </w:pPr>
      <w:r>
        <w:rPr>
          <w:rFonts w:hint="eastAsia"/>
          <w:highlight w:val="none"/>
        </w:rPr>
        <w:t>同7</w:t>
      </w:r>
      <w:r>
        <w:rPr>
          <w:highlight w:val="none"/>
        </w:rPr>
        <w:t>.2.1 e</w:t>
      </w:r>
      <w:r>
        <w:rPr>
          <w:rFonts w:hint="eastAsia"/>
          <w:highlight w:val="none"/>
        </w:rPr>
        <w:t>)</w:t>
      </w:r>
      <w:r>
        <w:rPr>
          <w:rStyle w:val="20"/>
          <w:rFonts w:hint="default" w:ascii="Times New Roman" w:hAnsi="Times New Roman"/>
          <w:highlight w:val="none"/>
        </w:rPr>
        <w:t>。</w:t>
      </w:r>
    </w:p>
    <w:p w14:paraId="5D8D7555">
      <w:pPr>
        <w:pStyle w:val="15"/>
        <w:rPr>
          <w:highlight w:val="none"/>
        </w:rPr>
      </w:pPr>
      <w:bookmarkStart w:id="37" w:name="_Toc156381368"/>
      <w:bookmarkStart w:id="38" w:name="_Toc301161832"/>
      <w:r>
        <w:rPr>
          <w:rFonts w:hint="eastAsia"/>
          <w:highlight w:val="none"/>
        </w:rPr>
        <w:t>8</w:t>
      </w:r>
      <w:r>
        <w:rPr>
          <w:highlight w:val="none"/>
        </w:rPr>
        <w:t xml:space="preserve"> </w:t>
      </w:r>
      <w:r>
        <w:rPr>
          <w:rFonts w:hint="eastAsia"/>
          <w:highlight w:val="none"/>
        </w:rPr>
        <w:t>校准结果表达</w:t>
      </w:r>
      <w:bookmarkEnd w:id="37"/>
      <w:bookmarkEnd w:id="38"/>
    </w:p>
    <w:p w14:paraId="16DB2F06">
      <w:pPr>
        <w:ind w:firstLine="480" w:firstLineChars="200"/>
        <w:rPr>
          <w:rFonts w:hint="eastAsia" w:asciiTheme="minorEastAsia" w:hAnsiTheme="minorEastAsia"/>
          <w:highlight w:val="none"/>
        </w:rPr>
      </w:pPr>
      <w:r>
        <w:rPr>
          <w:rFonts w:asciiTheme="minorEastAsia" w:hAnsiTheme="minorEastAsia"/>
          <w:highlight w:val="none"/>
        </w:rPr>
        <w:t>校准</w:t>
      </w:r>
      <w:r>
        <w:rPr>
          <w:rFonts w:hint="eastAsia" w:asciiTheme="minorEastAsia" w:hAnsiTheme="minorEastAsia"/>
          <w:highlight w:val="none"/>
        </w:rPr>
        <w:t>结果应在校准证书或校准报告上反映，</w:t>
      </w:r>
      <w:r>
        <w:rPr>
          <w:rFonts w:asciiTheme="minorEastAsia" w:hAnsiTheme="minorEastAsia"/>
          <w:highlight w:val="none"/>
        </w:rPr>
        <w:t>校准证书</w:t>
      </w:r>
      <w:r>
        <w:rPr>
          <w:rFonts w:hint="eastAsia" w:asciiTheme="minorEastAsia" w:hAnsiTheme="minorEastAsia"/>
          <w:highlight w:val="none"/>
        </w:rPr>
        <w:t>数据页格式</w:t>
      </w:r>
      <w:r>
        <w:rPr>
          <w:rFonts w:asciiTheme="minorEastAsia" w:hAnsiTheme="minorEastAsia"/>
          <w:highlight w:val="none"/>
        </w:rPr>
        <w:t>见附录A。</w:t>
      </w:r>
      <w:r>
        <w:rPr>
          <w:rFonts w:hint="eastAsia" w:asciiTheme="minorEastAsia" w:hAnsiTheme="minorEastAsia"/>
          <w:highlight w:val="none"/>
        </w:rPr>
        <w:t>校准证书或校准报告</w:t>
      </w:r>
      <w:r>
        <w:rPr>
          <w:rFonts w:asciiTheme="minorEastAsia" w:hAnsiTheme="minorEastAsia"/>
          <w:highlight w:val="none"/>
        </w:rPr>
        <w:t>应至少包括以下信息：</w:t>
      </w:r>
    </w:p>
    <w:p w14:paraId="71A7B74B">
      <w:pPr>
        <w:rPr>
          <w:rFonts w:hint="eastAsia" w:ascii="宋体" w:hAnsi="宋体"/>
          <w:highlight w:val="none"/>
        </w:rPr>
      </w:pPr>
      <w:r>
        <w:rPr>
          <w:rFonts w:ascii="宋体" w:hAnsi="宋体"/>
          <w:highlight w:val="none"/>
        </w:rPr>
        <w:t>a)</w:t>
      </w:r>
      <w:r>
        <w:rPr>
          <w:rFonts w:hint="eastAsia" w:ascii="宋体" w:hAnsi="宋体"/>
          <w:highlight w:val="none"/>
        </w:rPr>
        <w:t xml:space="preserve"> 标题：“校准证书”；</w:t>
      </w:r>
    </w:p>
    <w:p w14:paraId="4A2FA857">
      <w:pPr>
        <w:rPr>
          <w:rFonts w:hint="eastAsia" w:ascii="宋体" w:hAnsi="宋体"/>
          <w:highlight w:val="none"/>
        </w:rPr>
      </w:pPr>
      <w:r>
        <w:rPr>
          <w:rFonts w:ascii="宋体" w:hAnsi="宋体"/>
          <w:highlight w:val="none"/>
        </w:rPr>
        <w:t>b)</w:t>
      </w:r>
      <w:r>
        <w:rPr>
          <w:rFonts w:hint="eastAsia" w:ascii="宋体" w:hAnsi="宋体"/>
          <w:highlight w:val="none"/>
        </w:rPr>
        <w:t xml:space="preserve"> 实验室名称和地址；</w:t>
      </w:r>
    </w:p>
    <w:p w14:paraId="2159E142">
      <w:pPr>
        <w:rPr>
          <w:rFonts w:hint="eastAsia" w:ascii="宋体" w:hAnsi="宋体"/>
          <w:highlight w:val="none"/>
        </w:rPr>
      </w:pPr>
      <w:r>
        <w:rPr>
          <w:rFonts w:ascii="宋体" w:hAnsi="宋体"/>
          <w:highlight w:val="none"/>
        </w:rPr>
        <w:t xml:space="preserve">c) </w:t>
      </w:r>
      <w:r>
        <w:rPr>
          <w:rFonts w:hint="eastAsia" w:ascii="宋体" w:hAnsi="宋体"/>
          <w:highlight w:val="none"/>
        </w:rPr>
        <w:t>进行校准的地点（如果与实验室地址不同）；</w:t>
      </w:r>
    </w:p>
    <w:p w14:paraId="102357AD">
      <w:pPr>
        <w:rPr>
          <w:rFonts w:hint="eastAsia" w:ascii="宋体" w:hAnsi="宋体"/>
          <w:highlight w:val="none"/>
        </w:rPr>
      </w:pPr>
      <w:r>
        <w:rPr>
          <w:rFonts w:ascii="宋体" w:hAnsi="宋体"/>
          <w:highlight w:val="none"/>
        </w:rPr>
        <w:t xml:space="preserve">d) </w:t>
      </w:r>
      <w:r>
        <w:rPr>
          <w:rFonts w:hint="eastAsia" w:ascii="宋体" w:hAnsi="宋体"/>
          <w:highlight w:val="none"/>
        </w:rPr>
        <w:t>证书的唯一性标识（如编号），每页及总页数标识；</w:t>
      </w:r>
    </w:p>
    <w:p w14:paraId="36E75241">
      <w:pPr>
        <w:rPr>
          <w:rFonts w:hint="eastAsia" w:ascii="宋体" w:hAnsi="宋体"/>
          <w:highlight w:val="none"/>
        </w:rPr>
      </w:pPr>
      <w:r>
        <w:rPr>
          <w:rFonts w:ascii="宋体" w:hAnsi="宋体"/>
          <w:highlight w:val="none"/>
        </w:rPr>
        <w:t xml:space="preserve">e) </w:t>
      </w:r>
      <w:r>
        <w:rPr>
          <w:rFonts w:hint="eastAsia" w:ascii="宋体" w:hAnsi="宋体"/>
          <w:highlight w:val="none"/>
        </w:rPr>
        <w:t>客户的名称和地址；</w:t>
      </w:r>
    </w:p>
    <w:p w14:paraId="634B4940">
      <w:pPr>
        <w:rPr>
          <w:rFonts w:hint="eastAsia" w:ascii="宋体" w:hAnsi="宋体"/>
          <w:highlight w:val="none"/>
        </w:rPr>
      </w:pPr>
      <w:r>
        <w:rPr>
          <w:rFonts w:ascii="宋体" w:hAnsi="宋体"/>
          <w:highlight w:val="none"/>
        </w:rPr>
        <w:t>f)</w:t>
      </w:r>
      <w:r>
        <w:rPr>
          <w:rFonts w:hint="eastAsia" w:ascii="宋体" w:hAnsi="宋体"/>
          <w:highlight w:val="none"/>
        </w:rPr>
        <w:t xml:space="preserve"> 被校对象的描述和明确标识；</w:t>
      </w:r>
    </w:p>
    <w:p w14:paraId="5A45FA95">
      <w:pPr>
        <w:rPr>
          <w:rFonts w:hint="eastAsia" w:ascii="宋体" w:hAnsi="宋体"/>
          <w:highlight w:val="none"/>
        </w:rPr>
      </w:pPr>
      <w:r>
        <w:rPr>
          <w:rFonts w:ascii="宋体" w:hAnsi="宋体"/>
          <w:highlight w:val="none"/>
        </w:rPr>
        <w:t xml:space="preserve">g) </w:t>
      </w:r>
      <w:r>
        <w:rPr>
          <w:rFonts w:hint="eastAsia" w:ascii="宋体" w:hAnsi="宋体"/>
          <w:highlight w:val="none"/>
        </w:rPr>
        <w:t>进行校准的日期，如果与校准结果的有效性和应用有关时，应说明被校对象的接受日期；</w:t>
      </w:r>
    </w:p>
    <w:p w14:paraId="49AB1A44">
      <w:pPr>
        <w:rPr>
          <w:rFonts w:hint="eastAsia" w:ascii="宋体" w:hAnsi="宋体"/>
          <w:highlight w:val="none"/>
        </w:rPr>
      </w:pPr>
      <w:r>
        <w:rPr>
          <w:rFonts w:hint="eastAsia" w:ascii="宋体" w:hAnsi="宋体"/>
          <w:highlight w:val="none"/>
        </w:rPr>
        <w:t>h) 如果与校准结果的有效性应用有关时，应对被校样品的抽样程序进行说明；</w:t>
      </w:r>
    </w:p>
    <w:p w14:paraId="441B915F">
      <w:pPr>
        <w:rPr>
          <w:rFonts w:hint="eastAsia" w:ascii="宋体" w:hAnsi="宋体"/>
          <w:highlight w:val="none"/>
        </w:rPr>
      </w:pPr>
      <w:r>
        <w:rPr>
          <w:rFonts w:hint="eastAsia" w:ascii="宋体" w:hAnsi="宋体"/>
          <w:highlight w:val="none"/>
        </w:rPr>
        <w:t>i) 校准所依据的技术规范的标识，包括名称及代号；</w:t>
      </w:r>
    </w:p>
    <w:p w14:paraId="70A4CE36">
      <w:pPr>
        <w:rPr>
          <w:rFonts w:hint="eastAsia" w:ascii="宋体" w:hAnsi="宋体"/>
          <w:highlight w:val="none"/>
        </w:rPr>
      </w:pPr>
      <w:r>
        <w:rPr>
          <w:rFonts w:hint="eastAsia" w:ascii="宋体" w:hAnsi="宋体"/>
          <w:highlight w:val="none"/>
        </w:rPr>
        <w:t>j) 本次校准所用测量标准的溯源性及有效性说明；</w:t>
      </w:r>
    </w:p>
    <w:p w14:paraId="7D87F29D">
      <w:pPr>
        <w:rPr>
          <w:rFonts w:hint="eastAsia" w:ascii="宋体" w:hAnsi="宋体"/>
          <w:highlight w:val="none"/>
        </w:rPr>
      </w:pPr>
      <w:r>
        <w:rPr>
          <w:rFonts w:hint="eastAsia" w:ascii="宋体" w:hAnsi="宋体"/>
          <w:highlight w:val="none"/>
        </w:rPr>
        <w:t>k) 校准环境的描述；</w:t>
      </w:r>
    </w:p>
    <w:p w14:paraId="63735AC2">
      <w:pPr>
        <w:rPr>
          <w:rFonts w:hint="eastAsia" w:ascii="宋体" w:hAnsi="宋体"/>
          <w:highlight w:val="none"/>
        </w:rPr>
      </w:pPr>
      <w:r>
        <w:rPr>
          <w:rFonts w:hint="eastAsia" w:ascii="宋体" w:hAnsi="宋体"/>
          <w:highlight w:val="none"/>
        </w:rPr>
        <w:t>l) 校准结果及其测量不确定度的说明；</w:t>
      </w:r>
    </w:p>
    <w:p w14:paraId="5B6DA9B4">
      <w:pPr>
        <w:rPr>
          <w:rFonts w:hint="eastAsia" w:ascii="宋体" w:hAnsi="宋体"/>
          <w:highlight w:val="none"/>
        </w:rPr>
      </w:pPr>
      <w:r>
        <w:rPr>
          <w:rFonts w:hint="eastAsia" w:ascii="宋体" w:hAnsi="宋体"/>
          <w:highlight w:val="none"/>
        </w:rPr>
        <w:t>m) 对校准规范的偏离的说明；</w:t>
      </w:r>
    </w:p>
    <w:p w14:paraId="19144771">
      <w:pPr>
        <w:rPr>
          <w:rFonts w:hint="eastAsia" w:ascii="宋体" w:hAnsi="宋体"/>
          <w:highlight w:val="none"/>
        </w:rPr>
      </w:pPr>
      <w:r>
        <w:rPr>
          <w:rFonts w:hint="eastAsia" w:ascii="宋体" w:hAnsi="宋体"/>
          <w:highlight w:val="none"/>
        </w:rPr>
        <w:t>n)</w:t>
      </w:r>
      <w:r>
        <w:rPr>
          <w:rFonts w:ascii="宋体" w:hAnsi="宋体"/>
          <w:highlight w:val="none"/>
        </w:rPr>
        <w:t xml:space="preserve"> </w:t>
      </w:r>
      <w:r>
        <w:rPr>
          <w:rFonts w:hint="eastAsia" w:ascii="宋体" w:hAnsi="宋体"/>
          <w:highlight w:val="none"/>
        </w:rPr>
        <w:t>校准证书或校准报告签发人的签名、职务或等效标识；</w:t>
      </w:r>
    </w:p>
    <w:p w14:paraId="3A0586DA">
      <w:pPr>
        <w:rPr>
          <w:rFonts w:hint="eastAsia" w:ascii="宋体" w:hAnsi="宋体"/>
          <w:highlight w:val="none"/>
        </w:rPr>
      </w:pPr>
      <w:r>
        <w:rPr>
          <w:rFonts w:hint="eastAsia" w:ascii="宋体" w:hAnsi="宋体"/>
          <w:highlight w:val="none"/>
        </w:rPr>
        <w:t>o)</w:t>
      </w:r>
      <w:r>
        <w:rPr>
          <w:rFonts w:ascii="宋体" w:hAnsi="宋体"/>
          <w:highlight w:val="none"/>
        </w:rPr>
        <w:t xml:space="preserve"> </w:t>
      </w:r>
      <w:r>
        <w:rPr>
          <w:rFonts w:hint="eastAsia" w:ascii="宋体" w:hAnsi="宋体"/>
          <w:highlight w:val="none"/>
        </w:rPr>
        <w:t>校准结果仅对被校对象有效的声明；</w:t>
      </w:r>
    </w:p>
    <w:p w14:paraId="01133A02">
      <w:pPr>
        <w:rPr>
          <w:rFonts w:hint="eastAsia" w:ascii="宋体" w:hAnsi="宋体"/>
          <w:highlight w:val="none"/>
        </w:rPr>
      </w:pPr>
      <w:r>
        <w:rPr>
          <w:rFonts w:hint="eastAsia" w:ascii="宋体" w:hAnsi="宋体"/>
          <w:highlight w:val="none"/>
        </w:rPr>
        <w:t>p)</w:t>
      </w:r>
      <w:r>
        <w:rPr>
          <w:rFonts w:ascii="宋体" w:hAnsi="宋体"/>
          <w:highlight w:val="none"/>
        </w:rPr>
        <w:t xml:space="preserve"> </w:t>
      </w:r>
      <w:r>
        <w:rPr>
          <w:rFonts w:hint="eastAsia" w:ascii="宋体" w:hAnsi="宋体"/>
          <w:highlight w:val="none"/>
        </w:rPr>
        <w:t>未经实验室书面批准，不得部分复制证书的声明。</w:t>
      </w:r>
    </w:p>
    <w:p w14:paraId="59A505EA">
      <w:pPr>
        <w:pStyle w:val="15"/>
        <w:rPr>
          <w:highlight w:val="none"/>
        </w:rPr>
      </w:pPr>
      <w:bookmarkStart w:id="39" w:name="_Toc301161833"/>
      <w:bookmarkStart w:id="40" w:name="_Toc31266"/>
      <w:bookmarkStart w:id="41" w:name="_Toc519778271"/>
      <w:bookmarkStart w:id="42" w:name="_Toc156381369"/>
      <w:r>
        <w:rPr>
          <w:rFonts w:hint="eastAsia"/>
          <w:highlight w:val="none"/>
        </w:rPr>
        <w:t>9</w:t>
      </w:r>
      <w:r>
        <w:rPr>
          <w:highlight w:val="none"/>
        </w:rPr>
        <w:t xml:space="preserve"> 复校时间间隔</w:t>
      </w:r>
      <w:bookmarkEnd w:id="39"/>
      <w:bookmarkEnd w:id="40"/>
      <w:bookmarkEnd w:id="41"/>
      <w:bookmarkEnd w:id="42"/>
    </w:p>
    <w:p w14:paraId="624FA193">
      <w:pPr>
        <w:ind w:firstLine="480" w:firstLineChars="200"/>
        <w:rPr>
          <w:rFonts w:hint="eastAsia" w:asciiTheme="minorEastAsia" w:hAnsiTheme="minorEastAsia"/>
          <w:highlight w:val="none"/>
        </w:rPr>
      </w:pPr>
      <w:r>
        <w:rPr>
          <w:rFonts w:hint="eastAsia" w:asciiTheme="minorEastAsia" w:hAnsiTheme="minorEastAsia"/>
          <w:highlight w:val="none"/>
        </w:rPr>
        <w:t>显色指数的复校时间建议为1年。使用特别频繁时应适当缩短，如果发现测量结果异常时，应随时进行校准。使用者可根据实际使用情况自主决定复校时间间隔。</w:t>
      </w:r>
    </w:p>
    <w:p w14:paraId="23F667E9">
      <w:pPr>
        <w:rPr>
          <w:rFonts w:hint="eastAsia" w:asciiTheme="minorEastAsia" w:hAnsiTheme="minorEastAsia"/>
          <w:highlight w:val="none"/>
        </w:rPr>
      </w:pPr>
      <w:r>
        <w:rPr>
          <w:rFonts w:hint="eastAsia" w:asciiTheme="minorEastAsia" w:hAnsiTheme="minorEastAsia"/>
          <w:highlight w:val="none"/>
        </w:rPr>
        <w:br w:type="page"/>
      </w:r>
    </w:p>
    <w:p w14:paraId="59BE904C">
      <w:pPr>
        <w:keepNext/>
        <w:keepLines/>
        <w:adjustRightInd w:val="0"/>
        <w:snapToGrid w:val="0"/>
        <w:outlineLvl w:val="1"/>
        <w:rPr>
          <w:rFonts w:cstheme="majorBidi"/>
          <w:b/>
          <w:bCs/>
          <w:sz w:val="28"/>
          <w:highlight w:val="none"/>
        </w:rPr>
      </w:pPr>
      <w:bookmarkStart w:id="43" w:name="_Toc156381370"/>
      <w:bookmarkStart w:id="44" w:name="_Toc155682250"/>
      <w:bookmarkStart w:id="45" w:name="_Toc301161834"/>
      <w:bookmarkStart w:id="46" w:name="_Toc28407"/>
      <w:bookmarkStart w:id="47" w:name="_Toc519778272"/>
      <w:r>
        <w:rPr>
          <w:rFonts w:hint="eastAsia" w:cstheme="majorBidi"/>
          <w:b/>
          <w:bCs/>
          <w:sz w:val="28"/>
          <w:highlight w:val="none"/>
        </w:rPr>
        <w:t>附录A</w:t>
      </w:r>
      <w:bookmarkEnd w:id="43"/>
      <w:bookmarkEnd w:id="44"/>
    </w:p>
    <w:p w14:paraId="7EB2A69F">
      <w:pPr>
        <w:widowControl/>
        <w:jc w:val="center"/>
        <w:rPr>
          <w:b/>
          <w:bCs/>
          <w:sz w:val="28"/>
          <w:szCs w:val="28"/>
          <w:highlight w:val="none"/>
        </w:rPr>
      </w:pPr>
      <w:r>
        <w:rPr>
          <w:rFonts w:hint="eastAsia"/>
          <w:b/>
          <w:bCs/>
          <w:sz w:val="28"/>
          <w:szCs w:val="28"/>
          <w:highlight w:val="none"/>
        </w:rPr>
        <w:t>显色指数校准原始记录推荐格式</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1"/>
        <w:gridCol w:w="28"/>
        <w:gridCol w:w="1752"/>
        <w:gridCol w:w="1958"/>
        <w:gridCol w:w="26"/>
        <w:gridCol w:w="1418"/>
        <w:gridCol w:w="1213"/>
      </w:tblGrid>
      <w:tr w14:paraId="1C23D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gridSpan w:val="3"/>
          </w:tcPr>
          <w:p w14:paraId="26AF1AFF">
            <w:pPr>
              <w:widowControl/>
              <w:jc w:val="left"/>
              <w:rPr>
                <w:highlight w:val="none"/>
              </w:rPr>
            </w:pPr>
            <w:r>
              <w:rPr>
                <w:rFonts w:hint="eastAsia"/>
                <w:highlight w:val="none"/>
              </w:rPr>
              <w:t>原始记录编号：</w:t>
            </w:r>
          </w:p>
        </w:tc>
        <w:tc>
          <w:tcPr>
            <w:tcW w:w="4615" w:type="dxa"/>
            <w:gridSpan w:val="4"/>
          </w:tcPr>
          <w:p w14:paraId="26AB7E95">
            <w:pPr>
              <w:widowControl/>
              <w:jc w:val="left"/>
              <w:rPr>
                <w:highlight w:val="none"/>
              </w:rPr>
            </w:pPr>
            <w:r>
              <w:rPr>
                <w:rFonts w:hint="eastAsia"/>
                <w:highlight w:val="none"/>
              </w:rPr>
              <w:t>证书编号：</w:t>
            </w:r>
          </w:p>
        </w:tc>
      </w:tr>
      <w:tr w14:paraId="576D2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gridSpan w:val="3"/>
          </w:tcPr>
          <w:p w14:paraId="268A8E5A">
            <w:pPr>
              <w:widowControl/>
              <w:jc w:val="left"/>
              <w:rPr>
                <w:highlight w:val="none"/>
              </w:rPr>
            </w:pPr>
            <w:r>
              <w:rPr>
                <w:rFonts w:hint="eastAsia"/>
                <w:highlight w:val="none"/>
              </w:rPr>
              <w:t>客户名称：</w:t>
            </w:r>
          </w:p>
        </w:tc>
        <w:tc>
          <w:tcPr>
            <w:tcW w:w="4615" w:type="dxa"/>
            <w:gridSpan w:val="4"/>
          </w:tcPr>
          <w:p w14:paraId="2C83CD71">
            <w:pPr>
              <w:widowControl/>
              <w:jc w:val="left"/>
              <w:rPr>
                <w:highlight w:val="none"/>
              </w:rPr>
            </w:pPr>
            <w:r>
              <w:rPr>
                <w:rFonts w:hint="eastAsia"/>
                <w:highlight w:val="none"/>
              </w:rPr>
              <w:t>送检日期：</w:t>
            </w:r>
          </w:p>
        </w:tc>
      </w:tr>
      <w:tr w14:paraId="4DC0D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121BC0D1">
            <w:pPr>
              <w:widowControl/>
              <w:jc w:val="left"/>
              <w:rPr>
                <w:highlight w:val="none"/>
              </w:rPr>
            </w:pPr>
            <w:r>
              <w:rPr>
                <w:rFonts w:hint="eastAsia"/>
                <w:highlight w:val="none"/>
              </w:rPr>
              <w:t>联络信息：</w:t>
            </w:r>
          </w:p>
        </w:tc>
      </w:tr>
      <w:tr w14:paraId="3D6DF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gridSpan w:val="3"/>
          </w:tcPr>
          <w:p w14:paraId="7B166769">
            <w:pPr>
              <w:widowControl/>
              <w:jc w:val="left"/>
              <w:rPr>
                <w:highlight w:val="none"/>
              </w:rPr>
            </w:pPr>
            <w:r>
              <w:rPr>
                <w:rFonts w:hint="eastAsia"/>
                <w:highlight w:val="none"/>
              </w:rPr>
              <w:t>制造厂家：</w:t>
            </w:r>
          </w:p>
        </w:tc>
        <w:tc>
          <w:tcPr>
            <w:tcW w:w="4615" w:type="dxa"/>
            <w:gridSpan w:val="4"/>
          </w:tcPr>
          <w:p w14:paraId="258A15AA">
            <w:pPr>
              <w:widowControl/>
              <w:jc w:val="left"/>
              <w:rPr>
                <w:highlight w:val="none"/>
              </w:rPr>
            </w:pPr>
            <w:r>
              <w:rPr>
                <w:rFonts w:hint="eastAsia"/>
                <w:highlight w:val="none"/>
              </w:rPr>
              <w:t>规格型号：</w:t>
            </w:r>
          </w:p>
        </w:tc>
      </w:tr>
      <w:tr w14:paraId="32990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gridSpan w:val="3"/>
          </w:tcPr>
          <w:p w14:paraId="3DDA686D">
            <w:pPr>
              <w:widowControl/>
              <w:jc w:val="left"/>
              <w:rPr>
                <w:highlight w:val="none"/>
              </w:rPr>
            </w:pPr>
            <w:r>
              <w:rPr>
                <w:rFonts w:hint="eastAsia"/>
                <w:highlight w:val="none"/>
              </w:rPr>
              <w:t>出厂编号：</w:t>
            </w:r>
          </w:p>
        </w:tc>
        <w:tc>
          <w:tcPr>
            <w:tcW w:w="4615" w:type="dxa"/>
            <w:gridSpan w:val="4"/>
          </w:tcPr>
          <w:p w14:paraId="7EE5025F">
            <w:pPr>
              <w:widowControl/>
              <w:jc w:val="left"/>
              <w:rPr>
                <w:highlight w:val="none"/>
              </w:rPr>
            </w:pPr>
          </w:p>
        </w:tc>
      </w:tr>
      <w:tr w14:paraId="468B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65" w:type="dxa"/>
            <w:gridSpan w:val="5"/>
          </w:tcPr>
          <w:p w14:paraId="3300E7D9">
            <w:pPr>
              <w:widowControl/>
              <w:jc w:val="left"/>
              <w:rPr>
                <w:highlight w:val="none"/>
              </w:rPr>
            </w:pPr>
            <w:r>
              <w:rPr>
                <w:rFonts w:hint="eastAsia"/>
                <w:highlight w:val="none"/>
              </w:rPr>
              <w:t>外观检查：</w:t>
            </w:r>
            <w:r>
              <w:rPr>
                <w:rFonts w:hint="eastAsia" w:ascii="MATLAB" w:hAnsi="MATLAB" w:eastAsia="MATLAB"/>
                <w:highlight w:val="none"/>
              </w:rPr>
              <w:t xml:space="preserve"> </w:t>
            </w:r>
            <w:r>
              <w:rPr>
                <w:rFonts w:ascii="Cambria Math" w:hAnsi="Cambria Math"/>
                <w:highlight w:val="none"/>
              </w:rPr>
              <w:t>◻</w:t>
            </w:r>
            <w:r>
              <w:rPr>
                <w:rFonts w:hint="eastAsia"/>
                <w:highlight w:val="none"/>
              </w:rPr>
              <w:t xml:space="preserve">正常 </w:t>
            </w:r>
            <w:r>
              <w:rPr>
                <w:rFonts w:hint="eastAsia" w:ascii="MATLAB" w:hAnsi="MATLAB" w:eastAsia="MATLAB"/>
                <w:highlight w:val="none"/>
              </w:rPr>
              <w:t xml:space="preserve"> </w:t>
            </w:r>
            <w:r>
              <w:rPr>
                <w:rFonts w:ascii="Cambria Math" w:hAnsi="Cambria Math"/>
                <w:highlight w:val="none"/>
              </w:rPr>
              <w:t>◻</w:t>
            </w:r>
            <w:r>
              <w:rPr>
                <w:rFonts w:hint="eastAsia"/>
                <w:highlight w:val="none"/>
              </w:rPr>
              <w:t xml:space="preserve">有缺陷 </w:t>
            </w:r>
            <w:r>
              <w:rPr>
                <w:rFonts w:hint="eastAsia" w:ascii="MATLAB" w:hAnsi="MATLAB" w:eastAsia="MATLAB"/>
                <w:highlight w:val="none"/>
              </w:rPr>
              <w:t xml:space="preserve"> </w:t>
            </w:r>
            <w:r>
              <w:rPr>
                <w:rFonts w:ascii="Cambria Math" w:hAnsi="Cambria Math"/>
                <w:highlight w:val="none"/>
              </w:rPr>
              <w:t>◻</w:t>
            </w:r>
            <w:r>
              <w:rPr>
                <w:rFonts w:hint="eastAsia"/>
                <w:highlight w:val="none"/>
              </w:rPr>
              <w:t>其它：</w:t>
            </w:r>
          </w:p>
        </w:tc>
        <w:tc>
          <w:tcPr>
            <w:tcW w:w="2631" w:type="dxa"/>
            <w:gridSpan w:val="2"/>
          </w:tcPr>
          <w:p w14:paraId="44CB4E64">
            <w:pPr>
              <w:widowControl/>
              <w:jc w:val="left"/>
              <w:rPr>
                <w:highlight w:val="none"/>
              </w:rPr>
            </w:pPr>
          </w:p>
        </w:tc>
      </w:tr>
      <w:tr w14:paraId="6204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657D7008">
            <w:pPr>
              <w:widowControl/>
              <w:jc w:val="left"/>
              <w:rPr>
                <w:highlight w:val="none"/>
              </w:rPr>
            </w:pPr>
            <w:r>
              <w:rPr>
                <w:rFonts w:hint="eastAsia"/>
                <w:highlight w:val="none"/>
              </w:rPr>
              <w:t>所依据的技术文件：</w:t>
            </w:r>
          </w:p>
          <w:p w14:paraId="183FC8BD">
            <w:pPr>
              <w:widowControl/>
              <w:jc w:val="left"/>
              <w:rPr>
                <w:highlight w:val="none"/>
              </w:rPr>
            </w:pPr>
            <w:r>
              <w:rPr>
                <w:rFonts w:hint="eastAsia"/>
                <w:highlight w:val="none"/>
              </w:rPr>
              <w:t>JJF</w:t>
            </w:r>
            <w:r>
              <w:rPr>
                <w:highlight w:val="none"/>
              </w:rPr>
              <w:t xml:space="preserve"> </w:t>
            </w:r>
            <w:r>
              <w:rPr>
                <w:rFonts w:hint="eastAsia"/>
                <w:highlight w:val="none"/>
              </w:rPr>
              <w:t>XXXX</w:t>
            </w:r>
            <w:r>
              <w:rPr>
                <w:highlight w:val="none"/>
              </w:rPr>
              <w:t>-</w:t>
            </w:r>
            <w:r>
              <w:rPr>
                <w:rFonts w:hint="eastAsia"/>
                <w:highlight w:val="none"/>
              </w:rPr>
              <w:t>XXXX</w:t>
            </w:r>
            <w:r>
              <w:rPr>
                <w:highlight w:val="none"/>
              </w:rPr>
              <w:t xml:space="preserve"> </w:t>
            </w:r>
            <w:r>
              <w:rPr>
                <w:rFonts w:hint="eastAsia"/>
                <w:highlight w:val="none"/>
              </w:rPr>
              <w:t>显色指数校准规范</w:t>
            </w:r>
          </w:p>
        </w:tc>
      </w:tr>
      <w:tr w14:paraId="30004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67BBF058">
            <w:pPr>
              <w:widowControl/>
              <w:jc w:val="left"/>
              <w:rPr>
                <w:highlight w:val="none"/>
              </w:rPr>
            </w:pPr>
            <w:r>
              <w:rPr>
                <w:rFonts w:hint="eastAsia"/>
                <w:highlight w:val="none"/>
              </w:rPr>
              <w:t>所使用的主要计量器具：</w:t>
            </w:r>
          </w:p>
        </w:tc>
      </w:tr>
      <w:tr w14:paraId="7923B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1" w:type="dxa"/>
          </w:tcPr>
          <w:p w14:paraId="1534DAAC">
            <w:pPr>
              <w:widowControl/>
              <w:jc w:val="center"/>
              <w:rPr>
                <w:highlight w:val="none"/>
              </w:rPr>
            </w:pPr>
            <w:r>
              <w:rPr>
                <w:rFonts w:hint="eastAsia"/>
                <w:highlight w:val="none"/>
              </w:rPr>
              <w:t>器具名称</w:t>
            </w:r>
          </w:p>
        </w:tc>
        <w:tc>
          <w:tcPr>
            <w:tcW w:w="1780" w:type="dxa"/>
            <w:gridSpan w:val="2"/>
          </w:tcPr>
          <w:p w14:paraId="27B5C6DC">
            <w:pPr>
              <w:widowControl/>
              <w:jc w:val="center"/>
              <w:rPr>
                <w:highlight w:val="none"/>
              </w:rPr>
            </w:pPr>
            <w:r>
              <w:rPr>
                <w:rFonts w:hint="eastAsia"/>
                <w:highlight w:val="none"/>
              </w:rPr>
              <w:t>测量范围</w:t>
            </w:r>
          </w:p>
        </w:tc>
        <w:tc>
          <w:tcPr>
            <w:tcW w:w="1984" w:type="dxa"/>
            <w:gridSpan w:val="2"/>
          </w:tcPr>
          <w:p w14:paraId="039ABF9D">
            <w:pPr>
              <w:widowControl/>
              <w:jc w:val="center"/>
              <w:rPr>
                <w:highlight w:val="none"/>
              </w:rPr>
            </w:pPr>
            <w:r>
              <w:rPr>
                <w:rFonts w:hint="eastAsia"/>
                <w:highlight w:val="none"/>
              </w:rPr>
              <w:t>测量不确定度</w:t>
            </w:r>
          </w:p>
        </w:tc>
        <w:tc>
          <w:tcPr>
            <w:tcW w:w="1418" w:type="dxa"/>
          </w:tcPr>
          <w:p w14:paraId="62B5ADC5">
            <w:pPr>
              <w:widowControl/>
              <w:jc w:val="center"/>
              <w:rPr>
                <w:highlight w:val="none"/>
              </w:rPr>
            </w:pPr>
            <w:r>
              <w:rPr>
                <w:rFonts w:hint="eastAsia"/>
                <w:highlight w:val="none"/>
              </w:rPr>
              <w:t>证书编号</w:t>
            </w:r>
          </w:p>
        </w:tc>
        <w:tc>
          <w:tcPr>
            <w:tcW w:w="1213" w:type="dxa"/>
          </w:tcPr>
          <w:p w14:paraId="6ED84032">
            <w:pPr>
              <w:widowControl/>
              <w:jc w:val="center"/>
              <w:rPr>
                <w:highlight w:val="none"/>
              </w:rPr>
            </w:pPr>
            <w:r>
              <w:rPr>
                <w:rFonts w:hint="eastAsia"/>
                <w:highlight w:val="none"/>
              </w:rPr>
              <w:t>有效期至</w:t>
            </w:r>
          </w:p>
        </w:tc>
      </w:tr>
      <w:tr w14:paraId="1CE08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901" w:type="dxa"/>
          </w:tcPr>
          <w:p w14:paraId="6970A34F">
            <w:pPr>
              <w:widowControl/>
              <w:jc w:val="center"/>
              <w:rPr>
                <w:highlight w:val="none"/>
              </w:rPr>
            </w:pPr>
          </w:p>
        </w:tc>
        <w:tc>
          <w:tcPr>
            <w:tcW w:w="1780" w:type="dxa"/>
            <w:gridSpan w:val="2"/>
          </w:tcPr>
          <w:p w14:paraId="2135EA8A">
            <w:pPr>
              <w:widowControl/>
              <w:jc w:val="center"/>
              <w:rPr>
                <w:highlight w:val="none"/>
              </w:rPr>
            </w:pPr>
          </w:p>
        </w:tc>
        <w:tc>
          <w:tcPr>
            <w:tcW w:w="1984" w:type="dxa"/>
            <w:gridSpan w:val="2"/>
          </w:tcPr>
          <w:p w14:paraId="2C7365A2">
            <w:pPr>
              <w:widowControl/>
              <w:jc w:val="center"/>
              <w:rPr>
                <w:highlight w:val="none"/>
              </w:rPr>
            </w:pPr>
          </w:p>
        </w:tc>
        <w:tc>
          <w:tcPr>
            <w:tcW w:w="1418" w:type="dxa"/>
          </w:tcPr>
          <w:p w14:paraId="620EC5DA">
            <w:pPr>
              <w:widowControl/>
              <w:jc w:val="center"/>
              <w:rPr>
                <w:highlight w:val="none"/>
              </w:rPr>
            </w:pPr>
          </w:p>
        </w:tc>
        <w:tc>
          <w:tcPr>
            <w:tcW w:w="1213" w:type="dxa"/>
          </w:tcPr>
          <w:p w14:paraId="6BC91967">
            <w:pPr>
              <w:widowControl/>
              <w:jc w:val="center"/>
              <w:rPr>
                <w:highlight w:val="none"/>
              </w:rPr>
            </w:pPr>
          </w:p>
        </w:tc>
      </w:tr>
      <w:tr w14:paraId="3429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96" w:type="dxa"/>
            <w:gridSpan w:val="7"/>
          </w:tcPr>
          <w:p w14:paraId="6C131C18">
            <w:pPr>
              <w:widowControl/>
              <w:jc w:val="left"/>
              <w:rPr>
                <w:highlight w:val="none"/>
              </w:rPr>
            </w:pPr>
            <w:r>
              <w:rPr>
                <w:rFonts w:hint="eastAsia"/>
                <w:highlight w:val="none"/>
              </w:rPr>
              <w:t>实验室环境条件</w:t>
            </w:r>
          </w:p>
        </w:tc>
      </w:tr>
      <w:tr w14:paraId="357C0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29" w:type="dxa"/>
            <w:gridSpan w:val="2"/>
          </w:tcPr>
          <w:p w14:paraId="3D8930B1">
            <w:pPr>
              <w:widowControl/>
              <w:rPr>
                <w:highlight w:val="none"/>
              </w:rPr>
            </w:pPr>
            <w:r>
              <w:rPr>
                <w:rFonts w:hint="eastAsia"/>
                <w:highlight w:val="none"/>
              </w:rPr>
              <w:t>温度：</w:t>
            </w:r>
            <w:r>
              <w:rPr>
                <w:highlight w:val="none"/>
              </w:rPr>
              <w:t xml:space="preserve">  </w:t>
            </w:r>
            <w:r>
              <w:rPr>
                <w:rFonts w:hint="eastAsia"/>
                <w:highlight w:val="none"/>
              </w:rPr>
              <w:t xml:space="preserve"> ℃</w:t>
            </w:r>
          </w:p>
        </w:tc>
        <w:tc>
          <w:tcPr>
            <w:tcW w:w="3710" w:type="dxa"/>
            <w:gridSpan w:val="2"/>
          </w:tcPr>
          <w:p w14:paraId="531DCA12">
            <w:pPr>
              <w:widowControl/>
              <w:jc w:val="left"/>
              <w:rPr>
                <w:highlight w:val="none"/>
              </w:rPr>
            </w:pPr>
            <w:r>
              <w:rPr>
                <w:rFonts w:hint="eastAsia"/>
                <w:highlight w:val="none"/>
              </w:rPr>
              <w:t>相对湿度：</w:t>
            </w:r>
            <w:r>
              <w:rPr>
                <w:highlight w:val="none"/>
              </w:rPr>
              <w:t xml:space="preserve">      </w:t>
            </w:r>
            <w:r>
              <w:rPr>
                <w:rFonts w:hint="eastAsia"/>
                <w:highlight w:val="none"/>
              </w:rPr>
              <w:t>%RH</w:t>
            </w:r>
          </w:p>
        </w:tc>
        <w:tc>
          <w:tcPr>
            <w:tcW w:w="2657" w:type="dxa"/>
            <w:gridSpan w:val="3"/>
          </w:tcPr>
          <w:p w14:paraId="38DDF13A">
            <w:pPr>
              <w:widowControl/>
              <w:jc w:val="left"/>
              <w:rPr>
                <w:highlight w:val="none"/>
              </w:rPr>
            </w:pPr>
            <w:r>
              <w:rPr>
                <w:rFonts w:hint="eastAsia"/>
                <w:highlight w:val="none"/>
              </w:rPr>
              <w:t>其它:暗室</w:t>
            </w:r>
          </w:p>
        </w:tc>
      </w:tr>
      <w:tr w14:paraId="68EC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gridSpan w:val="3"/>
          </w:tcPr>
          <w:p w14:paraId="72E50BE0">
            <w:pPr>
              <w:widowControl/>
              <w:jc w:val="left"/>
              <w:rPr>
                <w:highlight w:val="none"/>
              </w:rPr>
            </w:pPr>
            <w:r>
              <w:rPr>
                <w:rFonts w:hint="eastAsia"/>
                <w:highlight w:val="none"/>
              </w:rPr>
              <w:t>校准日期：</w:t>
            </w:r>
          </w:p>
        </w:tc>
        <w:tc>
          <w:tcPr>
            <w:tcW w:w="4615" w:type="dxa"/>
            <w:gridSpan w:val="4"/>
          </w:tcPr>
          <w:p w14:paraId="58059333">
            <w:pPr>
              <w:widowControl/>
              <w:jc w:val="left"/>
              <w:rPr>
                <w:highlight w:val="none"/>
              </w:rPr>
            </w:pPr>
            <w:r>
              <w:rPr>
                <w:rFonts w:hint="eastAsia"/>
                <w:highlight w:val="none"/>
              </w:rPr>
              <w:t>校准地点：</w:t>
            </w:r>
          </w:p>
        </w:tc>
      </w:tr>
      <w:tr w14:paraId="6520F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1" w:type="dxa"/>
            <w:gridSpan w:val="3"/>
          </w:tcPr>
          <w:p w14:paraId="64028EFD">
            <w:pPr>
              <w:widowControl/>
              <w:jc w:val="left"/>
              <w:rPr>
                <w:highlight w:val="none"/>
              </w:rPr>
            </w:pPr>
            <w:r>
              <w:rPr>
                <w:rFonts w:hint="eastAsia"/>
                <w:highlight w:val="none"/>
              </w:rPr>
              <w:t>校准员：</w:t>
            </w:r>
          </w:p>
        </w:tc>
        <w:tc>
          <w:tcPr>
            <w:tcW w:w="4615" w:type="dxa"/>
            <w:gridSpan w:val="4"/>
          </w:tcPr>
          <w:p w14:paraId="5134795E">
            <w:pPr>
              <w:widowControl/>
              <w:jc w:val="left"/>
              <w:rPr>
                <w:highlight w:val="none"/>
              </w:rPr>
            </w:pPr>
            <w:r>
              <w:rPr>
                <w:rFonts w:hint="eastAsia"/>
                <w:highlight w:val="none"/>
              </w:rPr>
              <w:t>核验员：</w:t>
            </w:r>
          </w:p>
        </w:tc>
      </w:tr>
    </w:tbl>
    <w:p w14:paraId="3C84527C">
      <w:pPr>
        <w:widowControl/>
        <w:jc w:val="left"/>
        <w:rPr>
          <w:highlight w:val="none"/>
        </w:rPr>
      </w:pPr>
    </w:p>
    <w:p w14:paraId="3B5D31EB">
      <w:pPr>
        <w:spacing w:line="0" w:lineRule="atLeast"/>
        <w:rPr>
          <w:szCs w:val="21"/>
          <w:highlight w:val="none"/>
        </w:rPr>
      </w:pPr>
      <w:r>
        <w:rPr>
          <w:rFonts w:hint="eastAsia"/>
          <w:highlight w:val="none"/>
        </w:rPr>
        <w:t>一、一般显色指数</w:t>
      </w:r>
      <w:r>
        <w:rPr>
          <w:rFonts w:hint="eastAsia"/>
          <w:i/>
          <w:iCs/>
          <w:highlight w:val="none"/>
        </w:rPr>
        <w:t>R</w:t>
      </w:r>
      <w:r>
        <w:rPr>
          <w:rFonts w:hint="eastAsia"/>
          <w:highlight w:val="none"/>
          <w:vertAlign w:val="subscript"/>
        </w:rPr>
        <w:t>a</w:t>
      </w:r>
      <w:r>
        <w:rPr>
          <w:rFonts w:hint="eastAsia"/>
          <w:highlight w:val="none"/>
        </w:rPr>
        <w:t>：</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2"/>
        <w:gridCol w:w="1152"/>
        <w:gridCol w:w="1150"/>
        <w:gridCol w:w="1154"/>
        <w:gridCol w:w="1154"/>
        <w:gridCol w:w="1154"/>
        <w:gridCol w:w="1606"/>
      </w:tblGrid>
      <w:tr w14:paraId="4A4D4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676" w:type="pct"/>
            <w:vMerge w:val="restart"/>
            <w:tcBorders>
              <w:top w:val="single" w:color="auto" w:sz="4" w:space="0"/>
              <w:left w:val="single" w:color="auto" w:sz="4" w:space="0"/>
              <w:right w:val="single" w:color="auto" w:sz="4" w:space="0"/>
            </w:tcBorders>
          </w:tcPr>
          <w:p w14:paraId="0AC7631A">
            <w:pPr>
              <w:spacing w:line="360" w:lineRule="auto"/>
              <w:jc w:val="center"/>
              <w:rPr>
                <w:szCs w:val="21"/>
                <w:highlight w:val="none"/>
              </w:rPr>
            </w:pPr>
            <w:r>
              <w:rPr>
                <w:rFonts w:hint="eastAsia"/>
                <w:highlight w:val="none"/>
              </w:rPr>
              <w:t>灯号</w:t>
            </w:r>
          </w:p>
        </w:tc>
        <w:tc>
          <w:tcPr>
            <w:tcW w:w="676" w:type="pct"/>
            <w:vMerge w:val="restart"/>
            <w:tcBorders>
              <w:top w:val="single" w:color="auto" w:sz="4" w:space="0"/>
              <w:left w:val="single" w:color="auto" w:sz="4" w:space="0"/>
              <w:right w:val="single" w:color="auto" w:sz="4" w:space="0"/>
            </w:tcBorders>
          </w:tcPr>
          <w:p w14:paraId="118B4294">
            <w:pPr>
              <w:spacing w:line="360" w:lineRule="auto"/>
              <w:jc w:val="center"/>
              <w:rPr>
                <w:rFonts w:hint="eastAsia" w:eastAsiaTheme="minorEastAsia"/>
                <w:highlight w:val="none"/>
                <w:lang w:eastAsia="zh-CN"/>
              </w:rPr>
            </w:pPr>
            <w:r>
              <w:rPr>
                <w:rFonts w:hint="eastAsia"/>
                <w:highlight w:val="none"/>
              </w:rPr>
              <w:t>灯电流</w:t>
            </w:r>
          </w:p>
          <w:p w14:paraId="09D58FDC">
            <w:pPr>
              <w:spacing w:line="360" w:lineRule="auto"/>
              <w:jc w:val="center"/>
              <w:rPr>
                <w:szCs w:val="21"/>
                <w:highlight w:val="none"/>
              </w:rPr>
            </w:pPr>
            <w:r>
              <w:rPr>
                <w:rFonts w:hint="eastAsia"/>
                <w:highlight w:val="none"/>
              </w:rPr>
              <w:t>A</w:t>
            </w:r>
          </w:p>
        </w:tc>
        <w:tc>
          <w:tcPr>
            <w:tcW w:w="675" w:type="pct"/>
            <w:vMerge w:val="restart"/>
            <w:tcBorders>
              <w:top w:val="single" w:color="auto" w:sz="4" w:space="0"/>
              <w:left w:val="single" w:color="auto" w:sz="4" w:space="0"/>
              <w:right w:val="single" w:color="auto" w:sz="4" w:space="0"/>
            </w:tcBorders>
          </w:tcPr>
          <w:p w14:paraId="7C4D79F4">
            <w:pPr>
              <w:spacing w:line="360" w:lineRule="auto"/>
              <w:jc w:val="center"/>
              <w:rPr>
                <w:rFonts w:hint="eastAsia" w:eastAsiaTheme="minorEastAsia"/>
                <w:highlight w:val="none"/>
                <w:lang w:eastAsia="zh-CN"/>
              </w:rPr>
            </w:pPr>
            <w:r>
              <w:rPr>
                <w:rFonts w:hint="eastAsia"/>
                <w:highlight w:val="none"/>
              </w:rPr>
              <w:t>灯电压</w:t>
            </w:r>
          </w:p>
          <w:p w14:paraId="0150DA2B">
            <w:pPr>
              <w:spacing w:line="360" w:lineRule="auto"/>
              <w:jc w:val="center"/>
              <w:rPr>
                <w:szCs w:val="21"/>
                <w:highlight w:val="none"/>
              </w:rPr>
            </w:pPr>
            <w:r>
              <w:rPr>
                <w:rFonts w:hint="eastAsia"/>
                <w:highlight w:val="none"/>
              </w:rPr>
              <w:t>V</w:t>
            </w:r>
          </w:p>
        </w:tc>
        <w:tc>
          <w:tcPr>
            <w:tcW w:w="2030" w:type="pct"/>
            <w:gridSpan w:val="3"/>
            <w:tcBorders>
              <w:top w:val="single" w:color="auto" w:sz="4" w:space="0"/>
              <w:left w:val="nil"/>
              <w:bottom w:val="single" w:color="auto" w:sz="4" w:space="0"/>
              <w:right w:val="single" w:color="auto" w:sz="4" w:space="0"/>
            </w:tcBorders>
          </w:tcPr>
          <w:p w14:paraId="15CE5647">
            <w:pPr>
              <w:spacing w:line="360" w:lineRule="auto"/>
              <w:jc w:val="center"/>
              <w:rPr>
                <w:highlight w:val="none"/>
              </w:rPr>
            </w:pPr>
            <w:r>
              <w:rPr>
                <w:rFonts w:hint="eastAsia"/>
                <w:highlight w:val="none"/>
              </w:rPr>
              <w:t>显色指数</w:t>
            </w:r>
            <w:r>
              <w:rPr>
                <w:rFonts w:hint="eastAsia"/>
                <w:i/>
                <w:iCs/>
                <w:highlight w:val="none"/>
              </w:rPr>
              <w:t>R</w:t>
            </w:r>
            <w:r>
              <w:rPr>
                <w:rFonts w:hint="eastAsia"/>
                <w:highlight w:val="none"/>
                <w:vertAlign w:val="subscript"/>
              </w:rPr>
              <w:t>a</w:t>
            </w:r>
          </w:p>
        </w:tc>
        <w:tc>
          <w:tcPr>
            <w:tcW w:w="942" w:type="pct"/>
            <w:vMerge w:val="restart"/>
            <w:tcBorders>
              <w:top w:val="single" w:color="auto" w:sz="4" w:space="0"/>
              <w:left w:val="nil"/>
              <w:right w:val="single" w:color="auto" w:sz="4" w:space="0"/>
            </w:tcBorders>
          </w:tcPr>
          <w:p w14:paraId="06C4E336">
            <w:pPr>
              <w:snapToGrid w:val="0"/>
              <w:jc w:val="center"/>
              <w:rPr>
                <w:highlight w:val="none"/>
              </w:rPr>
            </w:pPr>
            <w:r>
              <w:rPr>
                <w:rFonts w:hint="eastAsia"/>
                <w:highlight w:val="none"/>
              </w:rPr>
              <w:t>测量结果不确定度</w:t>
            </w:r>
            <w:r>
              <w:rPr>
                <w:rFonts w:hint="eastAsia"/>
                <w:i/>
                <w:iCs/>
                <w:highlight w:val="none"/>
              </w:rPr>
              <w:t>U</w:t>
            </w:r>
            <w:r>
              <w:rPr>
                <w:highlight w:val="none"/>
              </w:rPr>
              <w:t>(</w:t>
            </w:r>
            <w:r>
              <w:rPr>
                <w:i/>
                <w:iCs/>
                <w:highlight w:val="none"/>
              </w:rPr>
              <w:t>k</w:t>
            </w:r>
            <w:r>
              <w:rPr>
                <w:highlight w:val="none"/>
              </w:rPr>
              <w:t>=2)</w:t>
            </w:r>
          </w:p>
        </w:tc>
      </w:tr>
      <w:tr w14:paraId="0915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676" w:type="pct"/>
            <w:vMerge w:val="continue"/>
            <w:tcBorders>
              <w:left w:val="single" w:color="auto" w:sz="4" w:space="0"/>
              <w:bottom w:val="single" w:color="auto" w:sz="4" w:space="0"/>
              <w:right w:val="single" w:color="auto" w:sz="4" w:space="0"/>
            </w:tcBorders>
          </w:tcPr>
          <w:p w14:paraId="6C519A96">
            <w:pPr>
              <w:spacing w:line="360" w:lineRule="auto"/>
              <w:rPr>
                <w:szCs w:val="21"/>
                <w:highlight w:val="none"/>
              </w:rPr>
            </w:pPr>
          </w:p>
        </w:tc>
        <w:tc>
          <w:tcPr>
            <w:tcW w:w="676" w:type="pct"/>
            <w:vMerge w:val="continue"/>
            <w:tcBorders>
              <w:left w:val="single" w:color="auto" w:sz="4" w:space="0"/>
              <w:bottom w:val="single" w:color="auto" w:sz="4" w:space="0"/>
              <w:right w:val="single" w:color="auto" w:sz="4" w:space="0"/>
            </w:tcBorders>
          </w:tcPr>
          <w:p w14:paraId="59521E53">
            <w:pPr>
              <w:spacing w:line="360" w:lineRule="auto"/>
              <w:rPr>
                <w:szCs w:val="21"/>
                <w:highlight w:val="none"/>
              </w:rPr>
            </w:pPr>
          </w:p>
        </w:tc>
        <w:tc>
          <w:tcPr>
            <w:tcW w:w="675" w:type="pct"/>
            <w:vMerge w:val="continue"/>
            <w:tcBorders>
              <w:left w:val="single" w:color="auto" w:sz="4" w:space="0"/>
              <w:bottom w:val="single" w:color="auto" w:sz="4" w:space="0"/>
              <w:right w:val="single" w:color="auto" w:sz="4" w:space="0"/>
            </w:tcBorders>
            <w:vAlign w:val="center"/>
          </w:tcPr>
          <w:p w14:paraId="10C3B645">
            <w:pPr>
              <w:spacing w:line="360" w:lineRule="auto"/>
              <w:rPr>
                <w:szCs w:val="21"/>
                <w:highlight w:val="none"/>
              </w:rPr>
            </w:pPr>
          </w:p>
        </w:tc>
        <w:tc>
          <w:tcPr>
            <w:tcW w:w="677" w:type="pct"/>
            <w:tcBorders>
              <w:top w:val="single" w:color="auto" w:sz="4" w:space="0"/>
              <w:left w:val="nil"/>
              <w:bottom w:val="single" w:color="auto" w:sz="4" w:space="0"/>
              <w:right w:val="single" w:color="auto" w:sz="4" w:space="0"/>
            </w:tcBorders>
          </w:tcPr>
          <w:p w14:paraId="3F342A44">
            <w:pPr>
              <w:spacing w:line="360" w:lineRule="auto"/>
              <w:jc w:val="center"/>
              <w:rPr>
                <w:highlight w:val="none"/>
              </w:rPr>
            </w:pPr>
            <w:r>
              <w:rPr>
                <w:rFonts w:hint="eastAsia"/>
                <w:highlight w:val="none"/>
              </w:rPr>
              <w:t>第一次</w:t>
            </w:r>
          </w:p>
        </w:tc>
        <w:tc>
          <w:tcPr>
            <w:tcW w:w="677" w:type="pct"/>
            <w:tcBorders>
              <w:top w:val="single" w:color="auto" w:sz="4" w:space="0"/>
              <w:left w:val="nil"/>
              <w:bottom w:val="single" w:color="auto" w:sz="4" w:space="0"/>
              <w:right w:val="single" w:color="auto" w:sz="4" w:space="0"/>
            </w:tcBorders>
          </w:tcPr>
          <w:p w14:paraId="4F464B31">
            <w:pPr>
              <w:spacing w:line="360" w:lineRule="auto"/>
              <w:jc w:val="center"/>
              <w:rPr>
                <w:highlight w:val="none"/>
              </w:rPr>
            </w:pPr>
            <w:r>
              <w:rPr>
                <w:rFonts w:hint="eastAsia"/>
                <w:highlight w:val="none"/>
              </w:rPr>
              <w:t>第二次</w:t>
            </w:r>
          </w:p>
        </w:tc>
        <w:tc>
          <w:tcPr>
            <w:tcW w:w="677" w:type="pct"/>
            <w:tcBorders>
              <w:top w:val="single" w:color="auto" w:sz="4" w:space="0"/>
              <w:left w:val="nil"/>
              <w:bottom w:val="single" w:color="auto" w:sz="4" w:space="0"/>
              <w:right w:val="single" w:color="auto" w:sz="4" w:space="0"/>
            </w:tcBorders>
          </w:tcPr>
          <w:p w14:paraId="56BF847F">
            <w:pPr>
              <w:spacing w:line="360" w:lineRule="auto"/>
              <w:jc w:val="center"/>
              <w:rPr>
                <w:highlight w:val="none"/>
              </w:rPr>
            </w:pPr>
            <w:r>
              <w:rPr>
                <w:rFonts w:hint="eastAsia"/>
                <w:highlight w:val="none"/>
              </w:rPr>
              <w:t>平均值</w:t>
            </w:r>
          </w:p>
        </w:tc>
        <w:tc>
          <w:tcPr>
            <w:tcW w:w="942" w:type="pct"/>
            <w:vMerge w:val="continue"/>
            <w:tcBorders>
              <w:left w:val="nil"/>
              <w:bottom w:val="single" w:color="auto" w:sz="4" w:space="0"/>
              <w:right w:val="single" w:color="auto" w:sz="4" w:space="0"/>
            </w:tcBorders>
          </w:tcPr>
          <w:p w14:paraId="2D8CAEAB">
            <w:pPr>
              <w:spacing w:line="360" w:lineRule="auto"/>
              <w:jc w:val="center"/>
              <w:rPr>
                <w:highlight w:val="none"/>
              </w:rPr>
            </w:pPr>
          </w:p>
        </w:tc>
      </w:tr>
      <w:tr w14:paraId="5A9B4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14:paraId="6C5AD571">
            <w:pPr>
              <w:spacing w:line="360" w:lineRule="auto"/>
              <w:jc w:val="center"/>
              <w:rPr>
                <w:highlight w:val="none"/>
              </w:rPr>
            </w:pPr>
          </w:p>
        </w:tc>
        <w:tc>
          <w:tcPr>
            <w:tcW w:w="676" w:type="pct"/>
            <w:tcBorders>
              <w:top w:val="single" w:color="auto" w:sz="4" w:space="0"/>
              <w:left w:val="single" w:color="auto" w:sz="4" w:space="0"/>
              <w:bottom w:val="single" w:color="auto" w:sz="4" w:space="0"/>
              <w:right w:val="single" w:color="auto" w:sz="4" w:space="0"/>
            </w:tcBorders>
          </w:tcPr>
          <w:p w14:paraId="5A395987">
            <w:pPr>
              <w:spacing w:line="360" w:lineRule="auto"/>
              <w:jc w:val="center"/>
              <w:rPr>
                <w:highlight w:val="none"/>
              </w:rPr>
            </w:pPr>
          </w:p>
        </w:tc>
        <w:tc>
          <w:tcPr>
            <w:tcW w:w="675" w:type="pct"/>
            <w:tcBorders>
              <w:top w:val="single" w:color="auto" w:sz="4" w:space="0"/>
              <w:left w:val="single" w:color="auto" w:sz="4" w:space="0"/>
              <w:bottom w:val="single" w:color="auto" w:sz="4" w:space="0"/>
              <w:right w:val="single" w:color="auto" w:sz="4" w:space="0"/>
            </w:tcBorders>
          </w:tcPr>
          <w:p w14:paraId="1BF03160">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68A2EF0A">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4DB93131">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54A1077B">
            <w:pPr>
              <w:spacing w:line="360" w:lineRule="auto"/>
              <w:jc w:val="center"/>
              <w:rPr>
                <w:highlight w:val="none"/>
              </w:rPr>
            </w:pPr>
          </w:p>
        </w:tc>
        <w:tc>
          <w:tcPr>
            <w:tcW w:w="942" w:type="pct"/>
            <w:tcBorders>
              <w:top w:val="single" w:color="auto" w:sz="4" w:space="0"/>
              <w:left w:val="nil"/>
              <w:bottom w:val="single" w:color="auto" w:sz="4" w:space="0"/>
              <w:right w:val="single" w:color="auto" w:sz="4" w:space="0"/>
            </w:tcBorders>
          </w:tcPr>
          <w:p w14:paraId="290C5EBD">
            <w:pPr>
              <w:spacing w:line="360" w:lineRule="auto"/>
              <w:jc w:val="center"/>
              <w:rPr>
                <w:highlight w:val="none"/>
              </w:rPr>
            </w:pPr>
          </w:p>
        </w:tc>
      </w:tr>
      <w:tr w14:paraId="3FF94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14:paraId="6F3176EA">
            <w:pPr>
              <w:spacing w:line="360" w:lineRule="auto"/>
              <w:jc w:val="center"/>
              <w:rPr>
                <w:highlight w:val="none"/>
              </w:rPr>
            </w:pPr>
          </w:p>
        </w:tc>
        <w:tc>
          <w:tcPr>
            <w:tcW w:w="676" w:type="pct"/>
            <w:tcBorders>
              <w:top w:val="single" w:color="auto" w:sz="4" w:space="0"/>
              <w:left w:val="single" w:color="auto" w:sz="4" w:space="0"/>
              <w:bottom w:val="single" w:color="auto" w:sz="4" w:space="0"/>
              <w:right w:val="single" w:color="auto" w:sz="4" w:space="0"/>
            </w:tcBorders>
          </w:tcPr>
          <w:p w14:paraId="7523068B">
            <w:pPr>
              <w:spacing w:line="360" w:lineRule="auto"/>
              <w:jc w:val="center"/>
              <w:rPr>
                <w:highlight w:val="none"/>
              </w:rPr>
            </w:pPr>
          </w:p>
        </w:tc>
        <w:tc>
          <w:tcPr>
            <w:tcW w:w="675" w:type="pct"/>
            <w:tcBorders>
              <w:top w:val="single" w:color="auto" w:sz="4" w:space="0"/>
              <w:left w:val="single" w:color="auto" w:sz="4" w:space="0"/>
              <w:bottom w:val="single" w:color="auto" w:sz="4" w:space="0"/>
              <w:right w:val="single" w:color="auto" w:sz="4" w:space="0"/>
            </w:tcBorders>
          </w:tcPr>
          <w:p w14:paraId="12DB7422">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0802F9CC">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7535B87C">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28F361C9">
            <w:pPr>
              <w:spacing w:line="360" w:lineRule="auto"/>
              <w:jc w:val="center"/>
              <w:rPr>
                <w:highlight w:val="none"/>
              </w:rPr>
            </w:pPr>
          </w:p>
        </w:tc>
        <w:tc>
          <w:tcPr>
            <w:tcW w:w="942" w:type="pct"/>
            <w:tcBorders>
              <w:top w:val="single" w:color="auto" w:sz="4" w:space="0"/>
              <w:left w:val="nil"/>
              <w:bottom w:val="single" w:color="auto" w:sz="4" w:space="0"/>
              <w:right w:val="single" w:color="auto" w:sz="4" w:space="0"/>
            </w:tcBorders>
          </w:tcPr>
          <w:p w14:paraId="0F4E0A99">
            <w:pPr>
              <w:spacing w:line="360" w:lineRule="auto"/>
              <w:jc w:val="center"/>
              <w:rPr>
                <w:highlight w:val="none"/>
              </w:rPr>
            </w:pPr>
          </w:p>
        </w:tc>
      </w:tr>
      <w:tr w14:paraId="31364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14:paraId="76C8E19B">
            <w:pPr>
              <w:spacing w:line="360" w:lineRule="auto"/>
              <w:jc w:val="center"/>
              <w:rPr>
                <w:highlight w:val="none"/>
              </w:rPr>
            </w:pPr>
          </w:p>
        </w:tc>
        <w:tc>
          <w:tcPr>
            <w:tcW w:w="676" w:type="pct"/>
            <w:tcBorders>
              <w:top w:val="single" w:color="auto" w:sz="4" w:space="0"/>
              <w:left w:val="single" w:color="auto" w:sz="4" w:space="0"/>
              <w:bottom w:val="single" w:color="auto" w:sz="4" w:space="0"/>
              <w:right w:val="single" w:color="auto" w:sz="4" w:space="0"/>
            </w:tcBorders>
          </w:tcPr>
          <w:p w14:paraId="4AD45365">
            <w:pPr>
              <w:spacing w:line="360" w:lineRule="auto"/>
              <w:jc w:val="center"/>
              <w:rPr>
                <w:highlight w:val="none"/>
              </w:rPr>
            </w:pPr>
          </w:p>
        </w:tc>
        <w:tc>
          <w:tcPr>
            <w:tcW w:w="675" w:type="pct"/>
            <w:tcBorders>
              <w:top w:val="single" w:color="auto" w:sz="4" w:space="0"/>
              <w:left w:val="single" w:color="auto" w:sz="4" w:space="0"/>
              <w:bottom w:val="single" w:color="auto" w:sz="4" w:space="0"/>
              <w:right w:val="single" w:color="auto" w:sz="4" w:space="0"/>
            </w:tcBorders>
          </w:tcPr>
          <w:p w14:paraId="587D28E5">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5496CB4E">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380261AD">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4E6A0ABB">
            <w:pPr>
              <w:spacing w:line="360" w:lineRule="auto"/>
              <w:jc w:val="center"/>
              <w:rPr>
                <w:highlight w:val="none"/>
              </w:rPr>
            </w:pPr>
          </w:p>
        </w:tc>
        <w:tc>
          <w:tcPr>
            <w:tcW w:w="942" w:type="pct"/>
            <w:tcBorders>
              <w:top w:val="single" w:color="auto" w:sz="4" w:space="0"/>
              <w:left w:val="nil"/>
              <w:bottom w:val="single" w:color="auto" w:sz="4" w:space="0"/>
              <w:right w:val="single" w:color="auto" w:sz="4" w:space="0"/>
            </w:tcBorders>
          </w:tcPr>
          <w:p w14:paraId="59F543C8">
            <w:pPr>
              <w:spacing w:line="360" w:lineRule="auto"/>
              <w:jc w:val="center"/>
              <w:rPr>
                <w:highlight w:val="none"/>
              </w:rPr>
            </w:pPr>
          </w:p>
        </w:tc>
      </w:tr>
      <w:tr w14:paraId="0CF98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14:paraId="4959474C">
            <w:pPr>
              <w:spacing w:line="360" w:lineRule="auto"/>
              <w:jc w:val="center"/>
              <w:rPr>
                <w:highlight w:val="none"/>
              </w:rPr>
            </w:pPr>
          </w:p>
        </w:tc>
        <w:tc>
          <w:tcPr>
            <w:tcW w:w="676" w:type="pct"/>
            <w:tcBorders>
              <w:top w:val="single" w:color="auto" w:sz="4" w:space="0"/>
              <w:left w:val="single" w:color="auto" w:sz="4" w:space="0"/>
              <w:bottom w:val="single" w:color="auto" w:sz="4" w:space="0"/>
              <w:right w:val="single" w:color="auto" w:sz="4" w:space="0"/>
            </w:tcBorders>
          </w:tcPr>
          <w:p w14:paraId="090F1CD6">
            <w:pPr>
              <w:spacing w:line="360" w:lineRule="auto"/>
              <w:jc w:val="center"/>
              <w:rPr>
                <w:highlight w:val="none"/>
              </w:rPr>
            </w:pPr>
          </w:p>
        </w:tc>
        <w:tc>
          <w:tcPr>
            <w:tcW w:w="675" w:type="pct"/>
            <w:tcBorders>
              <w:top w:val="single" w:color="auto" w:sz="4" w:space="0"/>
              <w:left w:val="single" w:color="auto" w:sz="4" w:space="0"/>
              <w:bottom w:val="single" w:color="auto" w:sz="4" w:space="0"/>
              <w:right w:val="single" w:color="auto" w:sz="4" w:space="0"/>
            </w:tcBorders>
          </w:tcPr>
          <w:p w14:paraId="096C3613">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17633026">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533AF2F4">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1787499E">
            <w:pPr>
              <w:spacing w:line="360" w:lineRule="auto"/>
              <w:jc w:val="center"/>
              <w:rPr>
                <w:highlight w:val="none"/>
              </w:rPr>
            </w:pPr>
          </w:p>
        </w:tc>
        <w:tc>
          <w:tcPr>
            <w:tcW w:w="942" w:type="pct"/>
            <w:tcBorders>
              <w:top w:val="single" w:color="auto" w:sz="4" w:space="0"/>
              <w:left w:val="nil"/>
              <w:bottom w:val="single" w:color="auto" w:sz="4" w:space="0"/>
              <w:right w:val="single" w:color="auto" w:sz="4" w:space="0"/>
            </w:tcBorders>
          </w:tcPr>
          <w:p w14:paraId="3157B64E">
            <w:pPr>
              <w:spacing w:line="360" w:lineRule="auto"/>
              <w:jc w:val="center"/>
              <w:rPr>
                <w:highlight w:val="none"/>
              </w:rPr>
            </w:pPr>
          </w:p>
        </w:tc>
      </w:tr>
      <w:tr w14:paraId="5A4E08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6" w:type="pct"/>
            <w:tcBorders>
              <w:top w:val="single" w:color="auto" w:sz="4" w:space="0"/>
              <w:left w:val="single" w:color="auto" w:sz="4" w:space="0"/>
              <w:bottom w:val="single" w:color="auto" w:sz="4" w:space="0"/>
              <w:right w:val="single" w:color="auto" w:sz="4" w:space="0"/>
            </w:tcBorders>
          </w:tcPr>
          <w:p w14:paraId="080A7819">
            <w:pPr>
              <w:spacing w:line="360" w:lineRule="auto"/>
              <w:jc w:val="center"/>
              <w:rPr>
                <w:highlight w:val="none"/>
              </w:rPr>
            </w:pPr>
          </w:p>
        </w:tc>
        <w:tc>
          <w:tcPr>
            <w:tcW w:w="676" w:type="pct"/>
            <w:tcBorders>
              <w:top w:val="single" w:color="auto" w:sz="4" w:space="0"/>
              <w:left w:val="single" w:color="auto" w:sz="4" w:space="0"/>
              <w:bottom w:val="single" w:color="auto" w:sz="4" w:space="0"/>
              <w:right w:val="single" w:color="auto" w:sz="4" w:space="0"/>
            </w:tcBorders>
          </w:tcPr>
          <w:p w14:paraId="459EBFDB">
            <w:pPr>
              <w:spacing w:line="360" w:lineRule="auto"/>
              <w:jc w:val="center"/>
              <w:rPr>
                <w:highlight w:val="none"/>
              </w:rPr>
            </w:pPr>
          </w:p>
        </w:tc>
        <w:tc>
          <w:tcPr>
            <w:tcW w:w="675" w:type="pct"/>
            <w:tcBorders>
              <w:top w:val="single" w:color="auto" w:sz="4" w:space="0"/>
              <w:left w:val="single" w:color="auto" w:sz="4" w:space="0"/>
              <w:bottom w:val="single" w:color="auto" w:sz="4" w:space="0"/>
              <w:right w:val="single" w:color="auto" w:sz="4" w:space="0"/>
            </w:tcBorders>
          </w:tcPr>
          <w:p w14:paraId="5C93C79C">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2C5D9971">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1DD461DD">
            <w:pPr>
              <w:spacing w:line="360" w:lineRule="auto"/>
              <w:jc w:val="center"/>
              <w:rPr>
                <w:highlight w:val="none"/>
              </w:rPr>
            </w:pPr>
          </w:p>
        </w:tc>
        <w:tc>
          <w:tcPr>
            <w:tcW w:w="677" w:type="pct"/>
            <w:tcBorders>
              <w:top w:val="single" w:color="auto" w:sz="4" w:space="0"/>
              <w:left w:val="nil"/>
              <w:bottom w:val="single" w:color="auto" w:sz="4" w:space="0"/>
              <w:right w:val="single" w:color="auto" w:sz="4" w:space="0"/>
            </w:tcBorders>
          </w:tcPr>
          <w:p w14:paraId="77BB1EA5">
            <w:pPr>
              <w:spacing w:line="360" w:lineRule="auto"/>
              <w:jc w:val="center"/>
              <w:rPr>
                <w:highlight w:val="none"/>
              </w:rPr>
            </w:pPr>
          </w:p>
        </w:tc>
        <w:tc>
          <w:tcPr>
            <w:tcW w:w="942" w:type="pct"/>
            <w:tcBorders>
              <w:top w:val="single" w:color="auto" w:sz="4" w:space="0"/>
              <w:left w:val="nil"/>
              <w:bottom w:val="single" w:color="auto" w:sz="4" w:space="0"/>
              <w:right w:val="single" w:color="auto" w:sz="4" w:space="0"/>
            </w:tcBorders>
          </w:tcPr>
          <w:p w14:paraId="1665CBF4">
            <w:pPr>
              <w:spacing w:line="360" w:lineRule="auto"/>
              <w:jc w:val="center"/>
              <w:rPr>
                <w:highlight w:val="none"/>
              </w:rPr>
            </w:pPr>
          </w:p>
        </w:tc>
      </w:tr>
    </w:tbl>
    <w:p w14:paraId="7E9AFEE7">
      <w:pPr>
        <w:widowControl/>
        <w:jc w:val="left"/>
        <w:rPr>
          <w:highlight w:val="none"/>
        </w:rPr>
      </w:pPr>
    </w:p>
    <w:p w14:paraId="12720D03">
      <w:pPr>
        <w:widowControl/>
        <w:jc w:val="left"/>
        <w:rPr>
          <w:highlight w:val="none"/>
        </w:rPr>
      </w:pPr>
      <w:r>
        <w:rPr>
          <w:highlight w:val="none"/>
        </w:rPr>
        <w:br w:type="page"/>
      </w:r>
    </w:p>
    <w:p w14:paraId="3EFD1183">
      <w:pPr>
        <w:keepNext/>
        <w:keepLines/>
        <w:adjustRightInd w:val="0"/>
        <w:snapToGrid w:val="0"/>
        <w:outlineLvl w:val="1"/>
        <w:rPr>
          <w:rFonts w:cstheme="majorBidi"/>
          <w:b/>
          <w:bCs/>
          <w:sz w:val="28"/>
          <w:highlight w:val="none"/>
        </w:rPr>
      </w:pPr>
      <w:bookmarkStart w:id="48" w:name="_Toc156381371"/>
      <w:r>
        <w:rPr>
          <w:rFonts w:hint="eastAsia" w:cstheme="majorBidi"/>
          <w:b/>
          <w:bCs/>
          <w:sz w:val="28"/>
          <w:highlight w:val="none"/>
        </w:rPr>
        <w:t>附录</w:t>
      </w:r>
      <w:bookmarkEnd w:id="45"/>
      <w:bookmarkEnd w:id="46"/>
      <w:bookmarkEnd w:id="47"/>
      <w:r>
        <w:rPr>
          <w:rFonts w:cstheme="majorBidi"/>
          <w:b/>
          <w:bCs/>
          <w:sz w:val="28"/>
          <w:highlight w:val="none"/>
        </w:rPr>
        <w:t>B</w:t>
      </w:r>
      <w:bookmarkEnd w:id="48"/>
    </w:p>
    <w:p w14:paraId="0D95AD74">
      <w:pPr>
        <w:pStyle w:val="16"/>
        <w:rPr>
          <w:rFonts w:hint="eastAsia"/>
          <w:highlight w:val="none"/>
        </w:rPr>
      </w:pPr>
      <w:r>
        <w:rPr>
          <w:rFonts w:hint="eastAsia"/>
          <w:kern w:val="0"/>
          <w:highlight w:val="none"/>
        </w:rPr>
        <w:t>显色指数</w:t>
      </w:r>
      <w:r>
        <w:rPr>
          <w:rFonts w:hint="eastAsia"/>
          <w:highlight w:val="none"/>
        </w:rPr>
        <w:t>校准证书内页参考格式</w:t>
      </w:r>
    </w:p>
    <w:p w14:paraId="422BECF8">
      <w:pPr>
        <w:pStyle w:val="16"/>
        <w:rPr>
          <w:rFonts w:hint="eastAsia"/>
          <w:highlight w:val="none"/>
        </w:rPr>
      </w:pPr>
    </w:p>
    <w:p w14:paraId="2A2EB7EB">
      <w:pPr>
        <w:spacing w:line="300" w:lineRule="exact"/>
        <w:jc w:val="center"/>
        <w:rPr>
          <w:rFonts w:hint="eastAsia" w:ascii="宋体" w:hAnsi="宋体"/>
          <w:highlight w:val="none"/>
        </w:rPr>
      </w:pPr>
      <w:r>
        <w:rPr>
          <w:rFonts w:hint="eastAsia" w:ascii="宋体" w:hAnsi="宋体"/>
          <w:spacing w:val="20"/>
          <w:highlight w:val="none"/>
        </w:rPr>
        <w:t>证书编号</w:t>
      </w:r>
      <w:r>
        <w:rPr>
          <w:rFonts w:hint="eastAsia" w:ascii="宋体" w:hAnsi="宋体"/>
          <w:highlight w:val="none"/>
        </w:rPr>
        <w:t>：</w:t>
      </w:r>
    </w:p>
    <w:p w14:paraId="5D527355">
      <w:pPr>
        <w:rPr>
          <w:rFonts w:hint="eastAsia" w:asciiTheme="minorEastAsia" w:hAnsiTheme="minorEastAsia"/>
          <w:highlight w:val="none"/>
        </w:rPr>
      </w:pPr>
    </w:p>
    <w:p w14:paraId="3F1F703A">
      <w:pPr>
        <w:spacing w:line="0" w:lineRule="atLeast"/>
        <w:rPr>
          <w:szCs w:val="21"/>
          <w:highlight w:val="none"/>
        </w:rPr>
      </w:pPr>
    </w:p>
    <w:tbl>
      <w:tblPr>
        <w:tblStyle w:val="9"/>
        <w:tblW w:w="8529"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3"/>
        <w:gridCol w:w="1283"/>
        <w:gridCol w:w="1580"/>
        <w:gridCol w:w="1418"/>
        <w:gridCol w:w="3685"/>
      </w:tblGrid>
      <w:tr w14:paraId="02598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vAlign w:val="center"/>
          </w:tcPr>
          <w:p w14:paraId="1BF6461D">
            <w:pPr>
              <w:spacing w:line="360" w:lineRule="auto"/>
              <w:rPr>
                <w:szCs w:val="21"/>
                <w:highlight w:val="none"/>
              </w:rPr>
            </w:pPr>
          </w:p>
        </w:tc>
        <w:tc>
          <w:tcPr>
            <w:tcW w:w="1283" w:type="dxa"/>
            <w:tcBorders>
              <w:top w:val="single" w:color="auto" w:sz="4" w:space="0"/>
              <w:left w:val="nil"/>
              <w:bottom w:val="single" w:color="auto" w:sz="4" w:space="0"/>
              <w:right w:val="single" w:color="auto" w:sz="4" w:space="0"/>
            </w:tcBorders>
          </w:tcPr>
          <w:p w14:paraId="78E08D72">
            <w:pPr>
              <w:spacing w:line="360" w:lineRule="auto"/>
              <w:jc w:val="center"/>
              <w:rPr>
                <w:highlight w:val="none"/>
              </w:rPr>
            </w:pPr>
            <w:r>
              <w:rPr>
                <w:rFonts w:hint="eastAsia"/>
                <w:highlight w:val="none"/>
              </w:rPr>
              <w:t>灯号</w:t>
            </w:r>
          </w:p>
        </w:tc>
        <w:tc>
          <w:tcPr>
            <w:tcW w:w="1580" w:type="dxa"/>
            <w:tcBorders>
              <w:top w:val="single" w:color="auto" w:sz="4" w:space="0"/>
              <w:left w:val="nil"/>
              <w:bottom w:val="single" w:color="auto" w:sz="4" w:space="0"/>
              <w:right w:val="single" w:color="auto" w:sz="4" w:space="0"/>
            </w:tcBorders>
          </w:tcPr>
          <w:p w14:paraId="5F8C1C33">
            <w:pPr>
              <w:spacing w:line="360" w:lineRule="auto"/>
              <w:jc w:val="center"/>
              <w:rPr>
                <w:rFonts w:hint="eastAsia" w:eastAsiaTheme="minorEastAsia"/>
                <w:highlight w:val="none"/>
                <w:lang w:eastAsia="zh-CN"/>
              </w:rPr>
            </w:pPr>
            <w:r>
              <w:rPr>
                <w:rFonts w:hint="eastAsia"/>
                <w:highlight w:val="none"/>
              </w:rPr>
              <w:t>灯电流</w:t>
            </w:r>
          </w:p>
          <w:p w14:paraId="510D8455">
            <w:pPr>
              <w:spacing w:line="360" w:lineRule="auto"/>
              <w:jc w:val="center"/>
              <w:rPr>
                <w:highlight w:val="none"/>
              </w:rPr>
            </w:pPr>
            <w:r>
              <w:rPr>
                <w:rFonts w:hint="eastAsia"/>
                <w:highlight w:val="none"/>
              </w:rPr>
              <w:t>A</w:t>
            </w:r>
          </w:p>
        </w:tc>
        <w:tc>
          <w:tcPr>
            <w:tcW w:w="1418" w:type="dxa"/>
            <w:tcBorders>
              <w:top w:val="single" w:color="auto" w:sz="4" w:space="0"/>
              <w:left w:val="nil"/>
              <w:bottom w:val="single" w:color="auto" w:sz="4" w:space="0"/>
              <w:right w:val="single" w:color="auto" w:sz="4" w:space="0"/>
            </w:tcBorders>
          </w:tcPr>
          <w:p w14:paraId="25A3CCAB">
            <w:pPr>
              <w:spacing w:line="360" w:lineRule="auto"/>
              <w:jc w:val="center"/>
              <w:rPr>
                <w:rFonts w:hint="eastAsia" w:eastAsiaTheme="minorEastAsia"/>
                <w:highlight w:val="none"/>
                <w:lang w:eastAsia="zh-CN"/>
              </w:rPr>
            </w:pPr>
            <w:r>
              <w:rPr>
                <w:rFonts w:hint="eastAsia"/>
                <w:highlight w:val="none"/>
              </w:rPr>
              <w:t>灯电压</w:t>
            </w:r>
          </w:p>
          <w:p w14:paraId="5AF658EF">
            <w:pPr>
              <w:spacing w:line="360" w:lineRule="auto"/>
              <w:jc w:val="center"/>
              <w:rPr>
                <w:highlight w:val="none"/>
              </w:rPr>
            </w:pPr>
            <w:r>
              <w:rPr>
                <w:rFonts w:hint="eastAsia"/>
                <w:highlight w:val="none"/>
              </w:rPr>
              <w:t>V</w:t>
            </w:r>
          </w:p>
        </w:tc>
        <w:tc>
          <w:tcPr>
            <w:tcW w:w="3685" w:type="dxa"/>
            <w:tcBorders>
              <w:top w:val="single" w:color="auto" w:sz="4" w:space="0"/>
              <w:left w:val="nil"/>
              <w:bottom w:val="single" w:color="auto" w:sz="4" w:space="0"/>
              <w:right w:val="single" w:color="auto" w:sz="4" w:space="0"/>
            </w:tcBorders>
          </w:tcPr>
          <w:p w14:paraId="2B86967C">
            <w:pPr>
              <w:spacing w:line="360" w:lineRule="auto"/>
              <w:jc w:val="center"/>
              <w:rPr>
                <w:highlight w:val="none"/>
              </w:rPr>
            </w:pPr>
            <w:r>
              <w:rPr>
                <w:rFonts w:hint="eastAsia"/>
                <w:highlight w:val="none"/>
              </w:rPr>
              <w:t>显色指数</w:t>
            </w:r>
            <w:r>
              <w:rPr>
                <w:rFonts w:hint="eastAsia"/>
                <w:i/>
                <w:iCs/>
                <w:highlight w:val="none"/>
              </w:rPr>
              <w:t>R</w:t>
            </w:r>
            <w:r>
              <w:rPr>
                <w:rFonts w:hint="eastAsia"/>
                <w:highlight w:val="none"/>
                <w:vertAlign w:val="subscript"/>
              </w:rPr>
              <w:t>a</w:t>
            </w:r>
          </w:p>
        </w:tc>
      </w:tr>
      <w:tr w14:paraId="184A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tcPr>
          <w:p w14:paraId="3F002E70">
            <w:pPr>
              <w:spacing w:line="360" w:lineRule="auto"/>
              <w:jc w:val="center"/>
              <w:rPr>
                <w:highlight w:val="none"/>
              </w:rPr>
            </w:pPr>
            <w:r>
              <w:rPr>
                <w:rFonts w:hint="eastAsia"/>
                <w:highlight w:val="none"/>
              </w:rPr>
              <w:t>1</w:t>
            </w:r>
          </w:p>
        </w:tc>
        <w:tc>
          <w:tcPr>
            <w:tcW w:w="1283" w:type="dxa"/>
            <w:tcBorders>
              <w:top w:val="single" w:color="auto" w:sz="4" w:space="0"/>
              <w:left w:val="nil"/>
              <w:bottom w:val="single" w:color="auto" w:sz="4" w:space="0"/>
              <w:right w:val="single" w:color="auto" w:sz="4" w:space="0"/>
            </w:tcBorders>
          </w:tcPr>
          <w:p w14:paraId="050259F5">
            <w:pPr>
              <w:spacing w:line="360" w:lineRule="auto"/>
              <w:jc w:val="center"/>
              <w:rPr>
                <w:highlight w:val="none"/>
              </w:rPr>
            </w:pPr>
          </w:p>
        </w:tc>
        <w:tc>
          <w:tcPr>
            <w:tcW w:w="1580" w:type="dxa"/>
            <w:tcBorders>
              <w:top w:val="single" w:color="auto" w:sz="4" w:space="0"/>
              <w:left w:val="nil"/>
              <w:bottom w:val="single" w:color="auto" w:sz="4" w:space="0"/>
              <w:right w:val="single" w:color="auto" w:sz="4" w:space="0"/>
            </w:tcBorders>
          </w:tcPr>
          <w:p w14:paraId="4641B943">
            <w:pPr>
              <w:spacing w:line="360" w:lineRule="auto"/>
              <w:jc w:val="center"/>
              <w:rPr>
                <w:highlight w:val="none"/>
              </w:rPr>
            </w:pPr>
          </w:p>
        </w:tc>
        <w:tc>
          <w:tcPr>
            <w:tcW w:w="1418" w:type="dxa"/>
            <w:tcBorders>
              <w:top w:val="single" w:color="auto" w:sz="4" w:space="0"/>
              <w:left w:val="nil"/>
              <w:bottom w:val="single" w:color="auto" w:sz="4" w:space="0"/>
              <w:right w:val="single" w:color="auto" w:sz="4" w:space="0"/>
            </w:tcBorders>
          </w:tcPr>
          <w:p w14:paraId="626D0E16">
            <w:pPr>
              <w:spacing w:line="360" w:lineRule="auto"/>
              <w:jc w:val="center"/>
              <w:rPr>
                <w:highlight w:val="none"/>
              </w:rPr>
            </w:pPr>
          </w:p>
        </w:tc>
        <w:tc>
          <w:tcPr>
            <w:tcW w:w="3685" w:type="dxa"/>
            <w:tcBorders>
              <w:top w:val="single" w:color="auto" w:sz="4" w:space="0"/>
              <w:left w:val="nil"/>
              <w:bottom w:val="single" w:color="auto" w:sz="4" w:space="0"/>
              <w:right w:val="single" w:color="auto" w:sz="4" w:space="0"/>
            </w:tcBorders>
          </w:tcPr>
          <w:p w14:paraId="0CC25E87">
            <w:pPr>
              <w:spacing w:line="360" w:lineRule="auto"/>
              <w:jc w:val="center"/>
              <w:rPr>
                <w:highlight w:val="none"/>
              </w:rPr>
            </w:pPr>
          </w:p>
        </w:tc>
      </w:tr>
      <w:tr w14:paraId="4AA8A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tcPr>
          <w:p w14:paraId="0AFF5E84">
            <w:pPr>
              <w:spacing w:line="360" w:lineRule="auto"/>
              <w:jc w:val="center"/>
              <w:rPr>
                <w:highlight w:val="none"/>
              </w:rPr>
            </w:pPr>
            <w:r>
              <w:rPr>
                <w:rFonts w:hint="eastAsia"/>
                <w:highlight w:val="none"/>
              </w:rPr>
              <w:t>2</w:t>
            </w:r>
          </w:p>
        </w:tc>
        <w:tc>
          <w:tcPr>
            <w:tcW w:w="1283" w:type="dxa"/>
            <w:tcBorders>
              <w:top w:val="single" w:color="auto" w:sz="4" w:space="0"/>
              <w:left w:val="nil"/>
              <w:bottom w:val="single" w:color="auto" w:sz="4" w:space="0"/>
              <w:right w:val="single" w:color="auto" w:sz="4" w:space="0"/>
            </w:tcBorders>
          </w:tcPr>
          <w:p w14:paraId="01D9A6C1">
            <w:pPr>
              <w:spacing w:line="360" w:lineRule="auto"/>
              <w:jc w:val="center"/>
              <w:rPr>
                <w:highlight w:val="none"/>
              </w:rPr>
            </w:pPr>
          </w:p>
        </w:tc>
        <w:tc>
          <w:tcPr>
            <w:tcW w:w="1580" w:type="dxa"/>
            <w:tcBorders>
              <w:top w:val="single" w:color="auto" w:sz="4" w:space="0"/>
              <w:left w:val="nil"/>
              <w:bottom w:val="single" w:color="auto" w:sz="4" w:space="0"/>
              <w:right w:val="single" w:color="auto" w:sz="4" w:space="0"/>
            </w:tcBorders>
          </w:tcPr>
          <w:p w14:paraId="15DEE174">
            <w:pPr>
              <w:spacing w:line="360" w:lineRule="auto"/>
              <w:jc w:val="center"/>
              <w:rPr>
                <w:highlight w:val="none"/>
              </w:rPr>
            </w:pPr>
          </w:p>
        </w:tc>
        <w:tc>
          <w:tcPr>
            <w:tcW w:w="1418" w:type="dxa"/>
            <w:tcBorders>
              <w:top w:val="single" w:color="auto" w:sz="4" w:space="0"/>
              <w:left w:val="nil"/>
              <w:bottom w:val="single" w:color="auto" w:sz="4" w:space="0"/>
              <w:right w:val="single" w:color="auto" w:sz="4" w:space="0"/>
            </w:tcBorders>
          </w:tcPr>
          <w:p w14:paraId="227BE07C">
            <w:pPr>
              <w:spacing w:line="360" w:lineRule="auto"/>
              <w:jc w:val="center"/>
              <w:rPr>
                <w:highlight w:val="none"/>
              </w:rPr>
            </w:pPr>
          </w:p>
        </w:tc>
        <w:tc>
          <w:tcPr>
            <w:tcW w:w="3685" w:type="dxa"/>
            <w:tcBorders>
              <w:top w:val="single" w:color="auto" w:sz="4" w:space="0"/>
              <w:left w:val="nil"/>
              <w:bottom w:val="single" w:color="auto" w:sz="4" w:space="0"/>
              <w:right w:val="single" w:color="auto" w:sz="4" w:space="0"/>
            </w:tcBorders>
          </w:tcPr>
          <w:p w14:paraId="055FA827">
            <w:pPr>
              <w:spacing w:line="360" w:lineRule="auto"/>
              <w:jc w:val="center"/>
              <w:rPr>
                <w:highlight w:val="none"/>
              </w:rPr>
            </w:pPr>
          </w:p>
        </w:tc>
      </w:tr>
      <w:tr w14:paraId="261FE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tcPr>
          <w:p w14:paraId="42D69940">
            <w:pPr>
              <w:spacing w:line="360" w:lineRule="auto"/>
              <w:jc w:val="center"/>
              <w:rPr>
                <w:highlight w:val="none"/>
              </w:rPr>
            </w:pPr>
            <w:r>
              <w:rPr>
                <w:rFonts w:hint="eastAsia"/>
                <w:highlight w:val="none"/>
              </w:rPr>
              <w:t>3</w:t>
            </w:r>
          </w:p>
        </w:tc>
        <w:tc>
          <w:tcPr>
            <w:tcW w:w="1283" w:type="dxa"/>
            <w:tcBorders>
              <w:top w:val="single" w:color="auto" w:sz="4" w:space="0"/>
              <w:left w:val="nil"/>
              <w:bottom w:val="single" w:color="auto" w:sz="4" w:space="0"/>
              <w:right w:val="single" w:color="auto" w:sz="4" w:space="0"/>
            </w:tcBorders>
          </w:tcPr>
          <w:p w14:paraId="3DC21287">
            <w:pPr>
              <w:spacing w:line="360" w:lineRule="auto"/>
              <w:jc w:val="center"/>
              <w:rPr>
                <w:highlight w:val="none"/>
              </w:rPr>
            </w:pPr>
          </w:p>
        </w:tc>
        <w:tc>
          <w:tcPr>
            <w:tcW w:w="1580" w:type="dxa"/>
            <w:tcBorders>
              <w:top w:val="single" w:color="auto" w:sz="4" w:space="0"/>
              <w:left w:val="nil"/>
              <w:bottom w:val="single" w:color="auto" w:sz="4" w:space="0"/>
              <w:right w:val="single" w:color="auto" w:sz="4" w:space="0"/>
            </w:tcBorders>
          </w:tcPr>
          <w:p w14:paraId="594D9C8F">
            <w:pPr>
              <w:spacing w:line="360" w:lineRule="auto"/>
              <w:jc w:val="center"/>
              <w:rPr>
                <w:highlight w:val="none"/>
              </w:rPr>
            </w:pPr>
          </w:p>
        </w:tc>
        <w:tc>
          <w:tcPr>
            <w:tcW w:w="1418" w:type="dxa"/>
            <w:tcBorders>
              <w:top w:val="single" w:color="auto" w:sz="4" w:space="0"/>
              <w:left w:val="nil"/>
              <w:bottom w:val="single" w:color="auto" w:sz="4" w:space="0"/>
              <w:right w:val="single" w:color="auto" w:sz="4" w:space="0"/>
            </w:tcBorders>
          </w:tcPr>
          <w:p w14:paraId="117BF9C9">
            <w:pPr>
              <w:spacing w:line="360" w:lineRule="auto"/>
              <w:jc w:val="center"/>
              <w:rPr>
                <w:highlight w:val="none"/>
              </w:rPr>
            </w:pPr>
          </w:p>
        </w:tc>
        <w:tc>
          <w:tcPr>
            <w:tcW w:w="3685" w:type="dxa"/>
            <w:tcBorders>
              <w:top w:val="single" w:color="auto" w:sz="4" w:space="0"/>
              <w:left w:val="nil"/>
              <w:bottom w:val="single" w:color="auto" w:sz="4" w:space="0"/>
              <w:right w:val="single" w:color="auto" w:sz="4" w:space="0"/>
            </w:tcBorders>
          </w:tcPr>
          <w:p w14:paraId="5C2A53B5">
            <w:pPr>
              <w:spacing w:line="360" w:lineRule="auto"/>
              <w:jc w:val="center"/>
              <w:rPr>
                <w:highlight w:val="none"/>
              </w:rPr>
            </w:pPr>
          </w:p>
        </w:tc>
      </w:tr>
      <w:tr w14:paraId="0CDE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tcPr>
          <w:p w14:paraId="3165E79B">
            <w:pPr>
              <w:spacing w:line="360" w:lineRule="auto"/>
              <w:jc w:val="center"/>
              <w:rPr>
                <w:highlight w:val="none"/>
              </w:rPr>
            </w:pPr>
            <w:r>
              <w:rPr>
                <w:rFonts w:hint="eastAsia"/>
                <w:highlight w:val="none"/>
              </w:rPr>
              <w:t>4</w:t>
            </w:r>
          </w:p>
        </w:tc>
        <w:tc>
          <w:tcPr>
            <w:tcW w:w="1283" w:type="dxa"/>
            <w:tcBorders>
              <w:top w:val="single" w:color="auto" w:sz="4" w:space="0"/>
              <w:left w:val="nil"/>
              <w:bottom w:val="single" w:color="auto" w:sz="4" w:space="0"/>
              <w:right w:val="single" w:color="auto" w:sz="4" w:space="0"/>
            </w:tcBorders>
          </w:tcPr>
          <w:p w14:paraId="2D72E333">
            <w:pPr>
              <w:spacing w:line="360" w:lineRule="auto"/>
              <w:jc w:val="center"/>
              <w:rPr>
                <w:highlight w:val="none"/>
              </w:rPr>
            </w:pPr>
          </w:p>
        </w:tc>
        <w:tc>
          <w:tcPr>
            <w:tcW w:w="1580" w:type="dxa"/>
            <w:tcBorders>
              <w:top w:val="single" w:color="auto" w:sz="4" w:space="0"/>
              <w:left w:val="nil"/>
              <w:bottom w:val="single" w:color="auto" w:sz="4" w:space="0"/>
              <w:right w:val="single" w:color="auto" w:sz="4" w:space="0"/>
            </w:tcBorders>
          </w:tcPr>
          <w:p w14:paraId="2B82F6B7">
            <w:pPr>
              <w:spacing w:line="360" w:lineRule="auto"/>
              <w:jc w:val="center"/>
              <w:rPr>
                <w:highlight w:val="none"/>
              </w:rPr>
            </w:pPr>
          </w:p>
        </w:tc>
        <w:tc>
          <w:tcPr>
            <w:tcW w:w="1418" w:type="dxa"/>
            <w:tcBorders>
              <w:top w:val="single" w:color="auto" w:sz="4" w:space="0"/>
              <w:left w:val="nil"/>
              <w:bottom w:val="single" w:color="auto" w:sz="4" w:space="0"/>
              <w:right w:val="single" w:color="auto" w:sz="4" w:space="0"/>
            </w:tcBorders>
          </w:tcPr>
          <w:p w14:paraId="5A3FA67E">
            <w:pPr>
              <w:spacing w:line="360" w:lineRule="auto"/>
              <w:jc w:val="center"/>
              <w:rPr>
                <w:highlight w:val="none"/>
              </w:rPr>
            </w:pPr>
          </w:p>
        </w:tc>
        <w:tc>
          <w:tcPr>
            <w:tcW w:w="3685" w:type="dxa"/>
            <w:tcBorders>
              <w:top w:val="single" w:color="auto" w:sz="4" w:space="0"/>
              <w:left w:val="nil"/>
              <w:bottom w:val="single" w:color="auto" w:sz="4" w:space="0"/>
              <w:right w:val="single" w:color="auto" w:sz="4" w:space="0"/>
            </w:tcBorders>
          </w:tcPr>
          <w:p w14:paraId="56E30BB6">
            <w:pPr>
              <w:spacing w:line="360" w:lineRule="auto"/>
              <w:jc w:val="center"/>
              <w:rPr>
                <w:highlight w:val="none"/>
              </w:rPr>
            </w:pPr>
          </w:p>
        </w:tc>
      </w:tr>
      <w:tr w14:paraId="1CCDF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tcPr>
          <w:p w14:paraId="5C44E134">
            <w:pPr>
              <w:spacing w:line="360" w:lineRule="auto"/>
              <w:jc w:val="center"/>
              <w:rPr>
                <w:highlight w:val="none"/>
              </w:rPr>
            </w:pPr>
            <w:r>
              <w:rPr>
                <w:rFonts w:hint="eastAsia"/>
                <w:highlight w:val="none"/>
              </w:rPr>
              <w:t>5</w:t>
            </w:r>
          </w:p>
        </w:tc>
        <w:tc>
          <w:tcPr>
            <w:tcW w:w="1283" w:type="dxa"/>
            <w:tcBorders>
              <w:top w:val="single" w:color="auto" w:sz="4" w:space="0"/>
              <w:left w:val="nil"/>
              <w:bottom w:val="single" w:color="auto" w:sz="4" w:space="0"/>
              <w:right w:val="single" w:color="auto" w:sz="4" w:space="0"/>
            </w:tcBorders>
          </w:tcPr>
          <w:p w14:paraId="598078BB">
            <w:pPr>
              <w:spacing w:line="360" w:lineRule="auto"/>
              <w:jc w:val="center"/>
              <w:rPr>
                <w:highlight w:val="none"/>
              </w:rPr>
            </w:pPr>
          </w:p>
        </w:tc>
        <w:tc>
          <w:tcPr>
            <w:tcW w:w="1580" w:type="dxa"/>
            <w:tcBorders>
              <w:top w:val="single" w:color="auto" w:sz="4" w:space="0"/>
              <w:left w:val="nil"/>
              <w:bottom w:val="single" w:color="auto" w:sz="4" w:space="0"/>
              <w:right w:val="single" w:color="auto" w:sz="4" w:space="0"/>
            </w:tcBorders>
          </w:tcPr>
          <w:p w14:paraId="30A48CE7">
            <w:pPr>
              <w:spacing w:line="360" w:lineRule="auto"/>
              <w:jc w:val="center"/>
              <w:rPr>
                <w:highlight w:val="none"/>
              </w:rPr>
            </w:pPr>
          </w:p>
        </w:tc>
        <w:tc>
          <w:tcPr>
            <w:tcW w:w="1418" w:type="dxa"/>
            <w:tcBorders>
              <w:top w:val="single" w:color="auto" w:sz="4" w:space="0"/>
              <w:left w:val="nil"/>
              <w:bottom w:val="single" w:color="auto" w:sz="4" w:space="0"/>
              <w:right w:val="single" w:color="auto" w:sz="4" w:space="0"/>
            </w:tcBorders>
          </w:tcPr>
          <w:p w14:paraId="33BE5422">
            <w:pPr>
              <w:spacing w:line="360" w:lineRule="auto"/>
              <w:jc w:val="center"/>
              <w:rPr>
                <w:highlight w:val="none"/>
              </w:rPr>
            </w:pPr>
          </w:p>
        </w:tc>
        <w:tc>
          <w:tcPr>
            <w:tcW w:w="3685" w:type="dxa"/>
            <w:tcBorders>
              <w:top w:val="single" w:color="auto" w:sz="4" w:space="0"/>
              <w:left w:val="nil"/>
              <w:bottom w:val="single" w:color="auto" w:sz="4" w:space="0"/>
              <w:right w:val="single" w:color="auto" w:sz="4" w:space="0"/>
            </w:tcBorders>
          </w:tcPr>
          <w:p w14:paraId="27AE6A81">
            <w:pPr>
              <w:spacing w:line="360" w:lineRule="auto"/>
              <w:jc w:val="center"/>
              <w:rPr>
                <w:highlight w:val="none"/>
              </w:rPr>
            </w:pPr>
          </w:p>
        </w:tc>
      </w:tr>
      <w:tr w14:paraId="6421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3" w:type="dxa"/>
            <w:tcBorders>
              <w:top w:val="single" w:color="auto" w:sz="4" w:space="0"/>
              <w:left w:val="single" w:color="auto" w:sz="4" w:space="0"/>
              <w:bottom w:val="single" w:color="auto" w:sz="4" w:space="0"/>
              <w:right w:val="single" w:color="auto" w:sz="4" w:space="0"/>
            </w:tcBorders>
          </w:tcPr>
          <w:p w14:paraId="23ED4624">
            <w:pPr>
              <w:spacing w:line="360" w:lineRule="auto"/>
              <w:jc w:val="center"/>
              <w:rPr>
                <w:highlight w:val="none"/>
              </w:rPr>
            </w:pPr>
            <w:r>
              <w:rPr>
                <w:rFonts w:hint="eastAsia"/>
                <w:highlight w:val="none"/>
              </w:rPr>
              <w:t>6</w:t>
            </w:r>
          </w:p>
        </w:tc>
        <w:tc>
          <w:tcPr>
            <w:tcW w:w="1283" w:type="dxa"/>
            <w:tcBorders>
              <w:top w:val="single" w:color="auto" w:sz="4" w:space="0"/>
              <w:left w:val="nil"/>
              <w:bottom w:val="single" w:color="auto" w:sz="4" w:space="0"/>
              <w:right w:val="single" w:color="auto" w:sz="4" w:space="0"/>
            </w:tcBorders>
          </w:tcPr>
          <w:p w14:paraId="60A896F6">
            <w:pPr>
              <w:spacing w:line="360" w:lineRule="auto"/>
              <w:jc w:val="center"/>
              <w:rPr>
                <w:highlight w:val="none"/>
              </w:rPr>
            </w:pPr>
          </w:p>
        </w:tc>
        <w:tc>
          <w:tcPr>
            <w:tcW w:w="1580" w:type="dxa"/>
            <w:tcBorders>
              <w:top w:val="single" w:color="auto" w:sz="4" w:space="0"/>
              <w:left w:val="nil"/>
              <w:bottom w:val="single" w:color="auto" w:sz="4" w:space="0"/>
              <w:right w:val="single" w:color="auto" w:sz="4" w:space="0"/>
            </w:tcBorders>
          </w:tcPr>
          <w:p w14:paraId="3EB44AF0">
            <w:pPr>
              <w:spacing w:line="360" w:lineRule="auto"/>
              <w:jc w:val="center"/>
              <w:rPr>
                <w:highlight w:val="none"/>
              </w:rPr>
            </w:pPr>
          </w:p>
        </w:tc>
        <w:tc>
          <w:tcPr>
            <w:tcW w:w="1418" w:type="dxa"/>
            <w:tcBorders>
              <w:top w:val="single" w:color="auto" w:sz="4" w:space="0"/>
              <w:left w:val="nil"/>
              <w:bottom w:val="single" w:color="auto" w:sz="4" w:space="0"/>
              <w:right w:val="single" w:color="auto" w:sz="4" w:space="0"/>
            </w:tcBorders>
          </w:tcPr>
          <w:p w14:paraId="25AB9E6C">
            <w:pPr>
              <w:spacing w:line="360" w:lineRule="auto"/>
              <w:jc w:val="center"/>
              <w:rPr>
                <w:highlight w:val="none"/>
              </w:rPr>
            </w:pPr>
          </w:p>
        </w:tc>
        <w:tc>
          <w:tcPr>
            <w:tcW w:w="3685" w:type="dxa"/>
            <w:tcBorders>
              <w:top w:val="single" w:color="auto" w:sz="4" w:space="0"/>
              <w:left w:val="nil"/>
              <w:bottom w:val="single" w:color="auto" w:sz="4" w:space="0"/>
              <w:right w:val="single" w:color="auto" w:sz="4" w:space="0"/>
            </w:tcBorders>
          </w:tcPr>
          <w:p w14:paraId="43E968C8">
            <w:pPr>
              <w:spacing w:line="360" w:lineRule="auto"/>
              <w:jc w:val="center"/>
              <w:rPr>
                <w:highlight w:val="none"/>
              </w:rPr>
            </w:pPr>
          </w:p>
        </w:tc>
      </w:tr>
    </w:tbl>
    <w:p w14:paraId="3C89B9DB">
      <w:pPr>
        <w:spacing w:line="0" w:lineRule="atLeast"/>
        <w:rPr>
          <w:highlight w:val="none"/>
        </w:rPr>
      </w:pPr>
      <w:r>
        <w:rPr>
          <w:rFonts w:hint="eastAsia"/>
          <w:highlight w:val="none"/>
        </w:rPr>
        <w:t>说明：</w:t>
      </w:r>
    </w:p>
    <w:p w14:paraId="7C60C71D">
      <w:pPr>
        <w:pStyle w:val="14"/>
        <w:numPr>
          <w:ilvl w:val="0"/>
          <w:numId w:val="3"/>
        </w:numPr>
        <w:spacing w:line="0" w:lineRule="atLeast"/>
        <w:ind w:firstLineChars="0"/>
        <w:rPr>
          <w:highlight w:val="none"/>
        </w:rPr>
      </w:pPr>
      <w:r>
        <w:rPr>
          <w:rFonts w:hint="eastAsia"/>
          <w:highlight w:val="none"/>
        </w:rPr>
        <w:t>使用积分球/光轨进行校准；</w:t>
      </w:r>
    </w:p>
    <w:p w14:paraId="5647F81E">
      <w:pPr>
        <w:pStyle w:val="14"/>
        <w:numPr>
          <w:ilvl w:val="0"/>
          <w:numId w:val="3"/>
        </w:numPr>
        <w:spacing w:line="0" w:lineRule="atLeast"/>
        <w:ind w:firstLineChars="0"/>
        <w:rPr>
          <w:highlight w:val="none"/>
        </w:rPr>
      </w:pPr>
      <w:r>
        <w:rPr>
          <w:rFonts w:hint="eastAsia"/>
          <w:highlight w:val="none"/>
        </w:rPr>
        <w:t>显色指数的</w:t>
      </w:r>
      <w:r>
        <w:rPr>
          <w:highlight w:val="none"/>
        </w:rPr>
        <w:t>校准不确定度</w:t>
      </w:r>
      <w:r>
        <w:rPr>
          <w:rFonts w:hint="eastAsia"/>
          <w:highlight w:val="none"/>
        </w:rPr>
        <w:t>为</w:t>
      </w:r>
      <w:r>
        <w:rPr>
          <w:highlight w:val="none"/>
        </w:rPr>
        <w:t>:</w:t>
      </w:r>
      <w:r>
        <w:rPr>
          <w:i/>
          <w:highlight w:val="none"/>
        </w:rPr>
        <w:t xml:space="preserve"> U </w:t>
      </w:r>
      <w:r>
        <w:rPr>
          <w:highlight w:val="none"/>
        </w:rPr>
        <w:t xml:space="preserve">= </w:t>
      </w:r>
      <w:r>
        <w:rPr>
          <w:rFonts w:hint="eastAsia"/>
          <w:highlight w:val="none"/>
        </w:rPr>
        <w:t>0.4</w:t>
      </w:r>
      <w:r>
        <w:rPr>
          <w:highlight w:val="none"/>
        </w:rPr>
        <w:t xml:space="preserve"> (</w:t>
      </w:r>
      <w:r>
        <w:rPr>
          <w:i/>
          <w:highlight w:val="none"/>
        </w:rPr>
        <w:t xml:space="preserve">k </w:t>
      </w:r>
      <w:r>
        <w:rPr>
          <w:highlight w:val="none"/>
        </w:rPr>
        <w:t>= 2).</w:t>
      </w:r>
    </w:p>
    <w:p w14:paraId="0AABDCF4">
      <w:pPr>
        <w:pStyle w:val="18"/>
        <w:ind w:firstLine="480"/>
        <w:rPr>
          <w:highlight w:val="none"/>
        </w:rPr>
      </w:pPr>
      <w:r>
        <w:rPr>
          <w:rFonts w:hint="eastAsia" w:eastAsia="黑体"/>
          <w:sz w:val="24"/>
          <w:highlight w:val="none"/>
        </w:rPr>
        <w:t xml:space="preserve">校准员：                </w:t>
      </w:r>
      <w:r>
        <w:rPr>
          <w:rFonts w:eastAsia="黑体"/>
          <w:sz w:val="24"/>
          <w:highlight w:val="none"/>
        </w:rPr>
        <w:t xml:space="preserve">          </w:t>
      </w:r>
      <w:r>
        <w:rPr>
          <w:rFonts w:hint="eastAsia" w:eastAsia="黑体"/>
          <w:sz w:val="24"/>
          <w:highlight w:val="none"/>
        </w:rPr>
        <w:t xml:space="preserve">        核验员：</w:t>
      </w:r>
    </w:p>
    <w:p w14:paraId="7E4840AC">
      <w:pPr>
        <w:spacing w:line="0" w:lineRule="atLeast"/>
        <w:rPr>
          <w:szCs w:val="21"/>
          <w:highlight w:val="none"/>
        </w:rPr>
      </w:pPr>
    </w:p>
    <w:p w14:paraId="34E603FE">
      <w:pPr>
        <w:widowControl/>
        <w:jc w:val="left"/>
        <w:rPr>
          <w:rFonts w:hint="eastAsia" w:asciiTheme="minorEastAsia" w:hAnsiTheme="minorEastAsia"/>
          <w:highlight w:val="none"/>
        </w:rPr>
      </w:pPr>
      <w:r>
        <w:rPr>
          <w:rFonts w:asciiTheme="minorEastAsia" w:hAnsiTheme="minorEastAsia"/>
          <w:highlight w:val="none"/>
        </w:rPr>
        <w:br w:type="page"/>
      </w:r>
    </w:p>
    <w:p w14:paraId="26C5D07B">
      <w:pPr>
        <w:keepNext/>
        <w:keepLines/>
        <w:adjustRightInd w:val="0"/>
        <w:snapToGrid w:val="0"/>
        <w:outlineLvl w:val="1"/>
        <w:rPr>
          <w:rFonts w:cstheme="majorBidi"/>
          <w:b/>
          <w:bCs/>
          <w:sz w:val="28"/>
          <w:highlight w:val="none"/>
        </w:rPr>
      </w:pPr>
      <w:bookmarkStart w:id="49" w:name="_Toc156381372"/>
      <w:r>
        <w:rPr>
          <w:rFonts w:hint="eastAsia" w:cstheme="majorBidi"/>
          <w:b/>
          <w:bCs/>
          <w:sz w:val="28"/>
          <w:highlight w:val="none"/>
        </w:rPr>
        <w:t>附录</w:t>
      </w:r>
      <w:r>
        <w:rPr>
          <w:rFonts w:cstheme="majorBidi"/>
          <w:b/>
          <w:bCs/>
          <w:sz w:val="28"/>
          <w:highlight w:val="none"/>
        </w:rPr>
        <w:t>C</w:t>
      </w:r>
      <w:bookmarkEnd w:id="49"/>
    </w:p>
    <w:p w14:paraId="2496925E">
      <w:pPr>
        <w:ind w:firstLine="560" w:firstLineChars="200"/>
        <w:jc w:val="center"/>
        <w:rPr>
          <w:highlight w:val="none"/>
        </w:rPr>
      </w:pPr>
      <w:r>
        <w:rPr>
          <w:rFonts w:hint="eastAsia" w:ascii="黑体" w:hAnsi="黑体" w:eastAsia="黑体"/>
          <w:color w:val="000000"/>
          <w:sz w:val="28"/>
          <w:szCs w:val="28"/>
          <w:highlight w:val="none"/>
        </w:rPr>
        <w:t>显色指数测量不确定度评定示例</w:t>
      </w:r>
    </w:p>
    <w:p w14:paraId="533C9491">
      <w:pPr>
        <w:ind w:firstLine="480" w:firstLineChars="200"/>
        <w:rPr>
          <w:highlight w:val="none"/>
        </w:rPr>
      </w:pPr>
      <w:r>
        <w:rPr>
          <w:rFonts w:hint="eastAsia"/>
          <w:highlight w:val="none"/>
        </w:rPr>
        <w:t>光源一般显色指数</w:t>
      </w:r>
      <w:r>
        <w:rPr>
          <w:i/>
          <w:iCs/>
          <w:highlight w:val="none"/>
        </w:rPr>
        <w:t>R</w:t>
      </w:r>
      <w:r>
        <w:rPr>
          <w:rFonts w:hint="eastAsia"/>
          <w:highlight w:val="none"/>
          <w:vertAlign w:val="subscript"/>
        </w:rPr>
        <w:t>a</w:t>
      </w:r>
      <w:r>
        <w:rPr>
          <w:rFonts w:hint="eastAsia"/>
          <w:highlight w:val="none"/>
        </w:rPr>
        <w:t>的不确定度来源包括：</w:t>
      </w:r>
    </w:p>
    <w:p w14:paraId="5786EF09">
      <w:pPr>
        <w:rPr>
          <w:highlight w:val="none"/>
          <w:vertAlign w:val="subscript"/>
        </w:rPr>
      </w:pPr>
      <w:r>
        <w:rPr>
          <w:highlight w:val="none"/>
        </w:rPr>
        <w:t>C</w:t>
      </w:r>
      <w:r>
        <w:rPr>
          <w:rFonts w:hint="eastAsia"/>
          <w:highlight w:val="none"/>
        </w:rPr>
        <w:t>1</w:t>
      </w:r>
      <w:r>
        <w:rPr>
          <w:highlight w:val="none"/>
        </w:rPr>
        <w:t xml:space="preserve"> </w:t>
      </w:r>
      <w:bookmarkStart w:id="50" w:name="_Hlk176603149"/>
      <w:r>
        <w:rPr>
          <w:rFonts w:ascii="宋体" w:hAnsi="宋体" w:eastAsia="宋体"/>
          <w:color w:val="000000"/>
          <w:highlight w:val="none"/>
        </w:rPr>
        <w:t>参比施照体</w:t>
      </w:r>
      <w:r>
        <w:rPr>
          <w:highlight w:val="none"/>
        </w:rPr>
        <w:t>的相关色温</w:t>
      </w:r>
      <w:r>
        <w:rPr>
          <w:rFonts w:hint="eastAsia"/>
          <w:i/>
          <w:iCs/>
          <w:highlight w:val="none"/>
        </w:rPr>
        <w:t>u</w:t>
      </w:r>
      <w:r>
        <w:rPr>
          <w:rFonts w:hint="eastAsia"/>
          <w:highlight w:val="none"/>
          <w:vertAlign w:val="subscript"/>
        </w:rPr>
        <w:t>1</w:t>
      </w:r>
      <w:bookmarkEnd w:id="50"/>
    </w:p>
    <w:p w14:paraId="5DE9794A">
      <w:pPr>
        <w:ind w:firstLine="480" w:firstLineChars="200"/>
        <w:rPr>
          <w:highlight w:val="none"/>
        </w:rPr>
      </w:pPr>
      <w:bookmarkStart w:id="51" w:name="_Hlk176603315"/>
      <w:r>
        <w:rPr>
          <w:highlight w:val="none"/>
        </w:rPr>
        <w:t>当</w:t>
      </w:r>
      <w:r>
        <w:rPr>
          <w:rFonts w:hint="eastAsia"/>
          <w:highlight w:val="none"/>
        </w:rPr>
        <w:t>参比施照体</w:t>
      </w:r>
      <w:r>
        <w:rPr>
          <w:highlight w:val="none"/>
        </w:rPr>
        <w:t>的相关色温与被测灯的相关色温相等时，所得到的</w:t>
      </w:r>
      <w:r>
        <w:rPr>
          <w:rFonts w:hint="eastAsia"/>
          <w:highlight w:val="none"/>
        </w:rPr>
        <w:t>显色指数</w:t>
      </w:r>
      <w:r>
        <w:rPr>
          <w:i/>
          <w:iCs/>
          <w:highlight w:val="none"/>
        </w:rPr>
        <w:t>R</w:t>
      </w:r>
      <w:r>
        <w:rPr>
          <w:highlight w:val="none"/>
        </w:rPr>
        <w:t>被认为是获得值</w:t>
      </w:r>
      <w:r>
        <w:rPr>
          <w:rFonts w:hint="eastAsia"/>
          <w:highlight w:val="none"/>
        </w:rPr>
        <w:t>，</w:t>
      </w:r>
      <w:r>
        <w:rPr>
          <w:rFonts w:hint="eastAsia"/>
          <w:i/>
          <w:iCs/>
          <w:highlight w:val="none"/>
        </w:rPr>
        <w:t>u</w:t>
      </w:r>
      <w:r>
        <w:rPr>
          <w:rFonts w:hint="eastAsia"/>
          <w:highlight w:val="none"/>
          <w:vertAlign w:val="subscript"/>
        </w:rPr>
        <w:t>1</w:t>
      </w:r>
      <w:r>
        <w:rPr>
          <w:rFonts w:hint="eastAsia"/>
          <w:highlight w:val="none"/>
        </w:rPr>
        <w:t>=</w:t>
      </w:r>
      <w:r>
        <w:rPr>
          <w:highlight w:val="none"/>
        </w:rPr>
        <w:t>0</w:t>
      </w:r>
      <w:bookmarkEnd w:id="51"/>
      <w:r>
        <w:rPr>
          <w:rFonts w:hint="eastAsia"/>
          <w:highlight w:val="none"/>
        </w:rPr>
        <w:t>。</w:t>
      </w:r>
    </w:p>
    <w:p w14:paraId="60DF057D">
      <w:pPr>
        <w:rPr>
          <w:highlight w:val="none"/>
        </w:rPr>
      </w:pPr>
      <w:r>
        <w:rPr>
          <w:highlight w:val="none"/>
        </w:rPr>
        <w:t>C2</w:t>
      </w:r>
      <w:bookmarkStart w:id="52" w:name="_Hlk176603162"/>
      <w:r>
        <w:rPr>
          <w:highlight w:val="none"/>
        </w:rPr>
        <w:t>光谱</w:t>
      </w:r>
      <w:r>
        <w:rPr>
          <w:rFonts w:hint="eastAsia"/>
          <w:highlight w:val="none"/>
        </w:rPr>
        <w:t>密集度测量</w:t>
      </w:r>
      <w:r>
        <w:rPr>
          <w:rFonts w:hint="eastAsia"/>
          <w:i/>
          <w:iCs/>
          <w:highlight w:val="none"/>
        </w:rPr>
        <w:t>u</w:t>
      </w:r>
      <w:r>
        <w:rPr>
          <w:highlight w:val="none"/>
          <w:vertAlign w:val="subscript"/>
        </w:rPr>
        <w:t>2</w:t>
      </w:r>
      <w:bookmarkEnd w:id="52"/>
    </w:p>
    <w:p w14:paraId="66E2850B">
      <w:pPr>
        <w:ind w:firstLine="480" w:firstLineChars="200"/>
        <w:rPr>
          <w:highlight w:val="none"/>
        </w:rPr>
      </w:pPr>
      <w:bookmarkStart w:id="53" w:name="_Hlk176603326"/>
      <w:r>
        <w:rPr>
          <w:rFonts w:hint="eastAsia"/>
          <w:highlight w:val="none"/>
        </w:rPr>
        <w:t>根据经验，</w:t>
      </w:r>
      <w:r>
        <w:rPr>
          <w:highlight w:val="none"/>
        </w:rPr>
        <w:t>光谱</w:t>
      </w:r>
      <w:r>
        <w:rPr>
          <w:rFonts w:hint="eastAsia"/>
          <w:highlight w:val="none"/>
        </w:rPr>
        <w:t>密集度测量的</w:t>
      </w:r>
      <w:r>
        <w:rPr>
          <w:highlight w:val="none"/>
        </w:rPr>
        <w:t>差别可能产生</w:t>
      </w:r>
      <w:r>
        <w:rPr>
          <w:i/>
          <w:iCs/>
          <w:highlight w:val="none"/>
        </w:rPr>
        <w:t>R</w:t>
      </w:r>
      <w:r>
        <w:rPr>
          <w:rFonts w:hint="eastAsia"/>
          <w:highlight w:val="none"/>
          <w:vertAlign w:val="subscript"/>
        </w:rPr>
        <w:t>a</w:t>
      </w:r>
      <w:r>
        <w:rPr>
          <w:highlight w:val="none"/>
        </w:rPr>
        <w:t>大约</w:t>
      </w:r>
      <w:r>
        <w:rPr>
          <w:rFonts w:hint="eastAsia"/>
          <w:highlight w:val="none"/>
        </w:rPr>
        <w:t>0.2</w:t>
      </w:r>
      <w:r>
        <w:rPr>
          <w:highlight w:val="none"/>
        </w:rPr>
        <w:t>个单位的不确定度</w:t>
      </w:r>
      <w:r>
        <w:rPr>
          <w:rFonts w:hint="eastAsia"/>
          <w:highlight w:val="none"/>
        </w:rPr>
        <w:t>，认为服从均匀分布，则</w:t>
      </w:r>
      <w:r>
        <w:rPr>
          <w:rFonts w:hint="eastAsia"/>
          <w:i/>
          <w:iCs/>
          <w:highlight w:val="none"/>
        </w:rPr>
        <w:t>u</w:t>
      </w:r>
      <w:r>
        <w:rPr>
          <w:highlight w:val="none"/>
          <w:vertAlign w:val="subscript"/>
        </w:rPr>
        <w:t>2</w:t>
      </w:r>
      <w:r>
        <w:rPr>
          <w:rFonts w:hint="eastAsia"/>
          <w:highlight w:val="none"/>
        </w:rPr>
        <w:t>=0.2/</w:t>
      </w:r>
      <m:oMath>
        <m:rad>
          <m:radPr>
            <m:degHide m:val="1"/>
            <m:ctrlPr>
              <w:rPr>
                <w:rFonts w:ascii="Cambria Math" w:hAnsi="Cambria Math"/>
                <w:i/>
                <w:highlight w:val="none"/>
              </w:rPr>
            </m:ctrlPr>
          </m:radPr>
          <m:deg>
            <m:ctrlPr>
              <w:rPr>
                <w:rFonts w:ascii="Cambria Math" w:hAnsi="Cambria Math"/>
                <w:i/>
                <w:highlight w:val="none"/>
              </w:rPr>
            </m:ctrlPr>
          </m:deg>
          <m:e>
            <m:r>
              <m:rPr/>
              <w:rPr>
                <w:rFonts w:ascii="Cambria Math" w:hAnsi="Cambria Math"/>
                <w:highlight w:val="none"/>
              </w:rPr>
              <m:t>3</m:t>
            </m:r>
            <m:ctrlPr>
              <w:rPr>
                <w:rFonts w:ascii="Cambria Math" w:hAnsi="Cambria Math"/>
                <w:i/>
                <w:highlight w:val="none"/>
              </w:rPr>
            </m:ctrlPr>
          </m:e>
        </m:rad>
      </m:oMath>
      <w:r>
        <w:rPr>
          <w:rFonts w:hint="eastAsia"/>
          <w:highlight w:val="none"/>
        </w:rPr>
        <w:t>=</w:t>
      </w:r>
      <w:r>
        <w:rPr>
          <w:highlight w:val="none"/>
        </w:rPr>
        <w:t>0.</w:t>
      </w:r>
      <w:r>
        <w:rPr>
          <w:rFonts w:hint="eastAsia"/>
          <w:highlight w:val="none"/>
        </w:rPr>
        <w:t>12。</w:t>
      </w:r>
    </w:p>
    <w:bookmarkEnd w:id="53"/>
    <w:p w14:paraId="1B16E1C6">
      <w:pPr>
        <w:rPr>
          <w:highlight w:val="none"/>
        </w:rPr>
      </w:pPr>
      <w:r>
        <w:rPr>
          <w:highlight w:val="none"/>
        </w:rPr>
        <w:t>C3</w:t>
      </w:r>
      <w:bookmarkStart w:id="54" w:name="_Hlk176603172"/>
      <w:bookmarkStart w:id="55" w:name="_Hlk176603354"/>
      <w:r>
        <w:rPr>
          <w:highlight w:val="none"/>
        </w:rPr>
        <w:t>光谱</w:t>
      </w:r>
      <w:r>
        <w:rPr>
          <w:rFonts w:hint="eastAsia"/>
          <w:highlight w:val="none"/>
        </w:rPr>
        <w:t>采样</w:t>
      </w:r>
      <w:r>
        <w:rPr>
          <w:highlight w:val="none"/>
        </w:rPr>
        <w:t>间隔</w:t>
      </w:r>
      <w:r>
        <w:rPr>
          <w:rFonts w:hint="eastAsia"/>
          <w:i/>
          <w:iCs/>
          <w:highlight w:val="none"/>
        </w:rPr>
        <w:t>u</w:t>
      </w:r>
      <w:r>
        <w:rPr>
          <w:highlight w:val="none"/>
          <w:vertAlign w:val="subscript"/>
        </w:rPr>
        <w:t>3</w:t>
      </w:r>
      <w:bookmarkEnd w:id="54"/>
    </w:p>
    <w:p w14:paraId="57E0162F">
      <w:pPr>
        <w:ind w:firstLine="480" w:firstLineChars="200"/>
        <w:rPr>
          <w:highlight w:val="none"/>
        </w:rPr>
      </w:pPr>
      <w:r>
        <w:rPr>
          <w:i/>
          <w:iCs/>
          <w:highlight w:val="none"/>
        </w:rPr>
        <w:t>R</w:t>
      </w:r>
      <w:r>
        <w:rPr>
          <w:rFonts w:hint="eastAsia"/>
          <w:highlight w:val="none"/>
          <w:vertAlign w:val="subscript"/>
        </w:rPr>
        <w:t>a</w:t>
      </w:r>
      <w:r>
        <w:rPr>
          <w:highlight w:val="none"/>
        </w:rPr>
        <w:t>受用于计算的光谱间隔的影响。经验表明，由于现代光谱辐射</w:t>
      </w:r>
      <w:r>
        <w:rPr>
          <w:rFonts w:hint="eastAsia"/>
          <w:highlight w:val="none"/>
        </w:rPr>
        <w:t>测量中使用</w:t>
      </w:r>
      <w:r>
        <w:rPr>
          <w:highlight w:val="none"/>
        </w:rPr>
        <w:t>计算机采集光谱数据，5 nm间隔成为工业标准。</w:t>
      </w:r>
      <w:r>
        <w:rPr>
          <w:rFonts w:hint="eastAsia"/>
          <w:highlight w:val="none"/>
        </w:rPr>
        <w:t>此时根据经验，</w:t>
      </w:r>
      <w:r>
        <w:rPr>
          <w:rFonts w:hint="eastAsia"/>
          <w:i/>
          <w:iCs/>
          <w:highlight w:val="none"/>
        </w:rPr>
        <w:t>u</w:t>
      </w:r>
      <w:r>
        <w:rPr>
          <w:highlight w:val="none"/>
          <w:vertAlign w:val="subscript"/>
        </w:rPr>
        <w:t>3</w:t>
      </w:r>
      <w:r>
        <w:rPr>
          <w:rFonts w:hint="eastAsia"/>
          <w:highlight w:val="none"/>
        </w:rPr>
        <w:t>=</w:t>
      </w:r>
      <w:r>
        <w:rPr>
          <w:highlight w:val="none"/>
        </w:rPr>
        <w:t>0.</w:t>
      </w:r>
      <w:r>
        <w:rPr>
          <w:rFonts w:hint="eastAsia"/>
          <w:highlight w:val="none"/>
        </w:rPr>
        <w:t>1</w:t>
      </w:r>
      <w:r>
        <w:rPr>
          <w:highlight w:val="none"/>
        </w:rPr>
        <w:t>。</w:t>
      </w:r>
    </w:p>
    <w:p w14:paraId="4ABFFE30">
      <w:pPr>
        <w:rPr>
          <w:highlight w:val="none"/>
        </w:rPr>
      </w:pPr>
      <w:r>
        <w:rPr>
          <w:highlight w:val="none"/>
        </w:rPr>
        <w:t>C4</w:t>
      </w:r>
      <w:r>
        <w:rPr>
          <w:rFonts w:hint="eastAsia"/>
          <w:highlight w:val="none"/>
        </w:rPr>
        <w:t>其它不确定度来源</w:t>
      </w:r>
      <w:r>
        <w:rPr>
          <w:rFonts w:hint="eastAsia"/>
          <w:i/>
          <w:iCs/>
          <w:highlight w:val="none"/>
        </w:rPr>
        <w:t>u</w:t>
      </w:r>
      <w:r>
        <w:rPr>
          <w:highlight w:val="none"/>
          <w:vertAlign w:val="subscript"/>
        </w:rPr>
        <w:t>4</w:t>
      </w:r>
      <w:r>
        <w:rPr>
          <w:rFonts w:hint="eastAsia"/>
          <w:highlight w:val="none"/>
        </w:rPr>
        <w:t>。</w:t>
      </w:r>
    </w:p>
    <w:p w14:paraId="42874D9B">
      <w:pPr>
        <w:ind w:firstLine="480" w:firstLineChars="200"/>
        <w:rPr>
          <w:highlight w:val="none"/>
        </w:rPr>
      </w:pPr>
      <w:r>
        <w:rPr>
          <w:rFonts w:hint="eastAsia"/>
          <w:highlight w:val="none"/>
        </w:rPr>
        <w:t>灯的工作方式与</w:t>
      </w:r>
      <w:r>
        <w:rPr>
          <w:highlight w:val="none"/>
        </w:rPr>
        <w:t>光谱</w:t>
      </w:r>
      <w:r>
        <w:rPr>
          <w:rFonts w:hint="eastAsia"/>
          <w:highlight w:val="none"/>
        </w:rPr>
        <w:t>密集度测量(如光通量、光强、亮度或照度的测量)的几何特性等其它不确定度，根据经验，</w:t>
      </w:r>
      <w:r>
        <w:rPr>
          <w:rFonts w:hint="eastAsia"/>
          <w:i/>
          <w:iCs/>
          <w:highlight w:val="none"/>
        </w:rPr>
        <w:t>u</w:t>
      </w:r>
      <w:r>
        <w:rPr>
          <w:highlight w:val="none"/>
          <w:vertAlign w:val="subscript"/>
        </w:rPr>
        <w:t>4</w:t>
      </w:r>
      <w:r>
        <w:rPr>
          <w:rFonts w:hint="eastAsia"/>
          <w:highlight w:val="none"/>
        </w:rPr>
        <w:t>=</w:t>
      </w:r>
      <w:r>
        <w:rPr>
          <w:highlight w:val="none"/>
        </w:rPr>
        <w:t>0.</w:t>
      </w:r>
      <w:r>
        <w:rPr>
          <w:rFonts w:hint="eastAsia"/>
          <w:highlight w:val="none"/>
        </w:rPr>
        <w:t>1</w:t>
      </w:r>
      <w:r>
        <w:rPr>
          <w:highlight w:val="none"/>
        </w:rPr>
        <w:t>。</w:t>
      </w:r>
    </w:p>
    <w:bookmarkEnd w:id="55"/>
    <w:p w14:paraId="5BB908CD">
      <w:pPr>
        <w:pStyle w:val="3"/>
        <w:keepNext/>
        <w:jc w:val="center"/>
        <w:rPr>
          <w:highlight w:val="none"/>
        </w:rPr>
      </w:pPr>
      <w:bookmarkStart w:id="56" w:name="_Hlk176603505"/>
      <w:r>
        <w:rPr>
          <w:rFonts w:hint="eastAsia"/>
          <w:highlight w:val="none"/>
        </w:rPr>
        <w:t xml:space="preserve">表 </w:t>
      </w:r>
      <w:r>
        <w:rPr>
          <w:highlight w:val="none"/>
        </w:rPr>
        <w:fldChar w:fldCharType="begin"/>
      </w:r>
      <w:r>
        <w:rPr>
          <w:highlight w:val="none"/>
        </w:rPr>
        <w:instrText xml:space="preserve"> </w:instrText>
      </w:r>
      <w:r>
        <w:rPr>
          <w:rFonts w:hint="eastAsia"/>
          <w:highlight w:val="none"/>
        </w:rPr>
        <w:instrText xml:space="preserve">SEQ 表 \* ARABIC</w:instrText>
      </w:r>
      <w:r>
        <w:rPr>
          <w:highlight w:val="none"/>
        </w:rPr>
        <w:instrText xml:space="preserve"> </w:instrText>
      </w:r>
      <w:r>
        <w:rPr>
          <w:highlight w:val="none"/>
        </w:rPr>
        <w:fldChar w:fldCharType="separate"/>
      </w:r>
      <w:r>
        <w:rPr>
          <w:highlight w:val="none"/>
        </w:rPr>
        <w:t>1</w:t>
      </w:r>
      <w:r>
        <w:rPr>
          <w:highlight w:val="none"/>
        </w:rPr>
        <w:fldChar w:fldCharType="end"/>
      </w:r>
      <w:r>
        <w:rPr>
          <w:highlight w:val="none"/>
        </w:rPr>
        <w:t xml:space="preserve"> </w:t>
      </w:r>
      <w:r>
        <w:rPr>
          <w:rFonts w:hint="eastAsia"/>
          <w:highlight w:val="none"/>
        </w:rPr>
        <w:t>不确定度分量一览表</w:t>
      </w:r>
    </w:p>
    <w:tbl>
      <w:tblPr>
        <w:tblStyle w:val="8"/>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68"/>
        <w:gridCol w:w="3697"/>
        <w:gridCol w:w="1658"/>
      </w:tblGrid>
      <w:tr w14:paraId="3E018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2968" w:type="dxa"/>
            <w:vAlign w:val="center"/>
          </w:tcPr>
          <w:p w14:paraId="649383FA">
            <w:pPr>
              <w:jc w:val="center"/>
              <w:rPr>
                <w:szCs w:val="21"/>
                <w:highlight w:val="none"/>
              </w:rPr>
            </w:pPr>
            <w:r>
              <w:rPr>
                <w:rFonts w:hint="eastAsia" w:hAnsi="宋体"/>
                <w:szCs w:val="21"/>
                <w:highlight w:val="none"/>
              </w:rPr>
              <w:t>测量</w:t>
            </w:r>
            <w:r>
              <w:rPr>
                <w:rFonts w:hAnsi="宋体"/>
                <w:szCs w:val="21"/>
                <w:highlight w:val="none"/>
              </w:rPr>
              <w:t>不确定度分量</w:t>
            </w:r>
          </w:p>
        </w:tc>
        <w:tc>
          <w:tcPr>
            <w:tcW w:w="3697" w:type="dxa"/>
            <w:vAlign w:val="center"/>
          </w:tcPr>
          <w:p w14:paraId="0A3AF00E">
            <w:pPr>
              <w:jc w:val="center"/>
              <w:rPr>
                <w:szCs w:val="21"/>
                <w:highlight w:val="none"/>
              </w:rPr>
            </w:pPr>
            <w:r>
              <w:rPr>
                <w:rFonts w:hAnsi="宋体"/>
                <w:szCs w:val="21"/>
                <w:highlight w:val="none"/>
              </w:rPr>
              <w:t>不确定度来源</w:t>
            </w:r>
          </w:p>
        </w:tc>
        <w:tc>
          <w:tcPr>
            <w:tcW w:w="1658" w:type="dxa"/>
            <w:vAlign w:val="center"/>
          </w:tcPr>
          <w:p w14:paraId="12180196">
            <w:pPr>
              <w:jc w:val="center"/>
              <w:rPr>
                <w:szCs w:val="21"/>
                <w:highlight w:val="none"/>
              </w:rPr>
            </w:pPr>
          </w:p>
        </w:tc>
      </w:tr>
      <w:tr w14:paraId="67AE0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968" w:type="dxa"/>
            <w:vAlign w:val="center"/>
          </w:tcPr>
          <w:p w14:paraId="5BFDE09C">
            <w:pPr>
              <w:jc w:val="center"/>
              <w:rPr>
                <w:szCs w:val="21"/>
                <w:highlight w:val="none"/>
              </w:rPr>
            </w:pPr>
            <w:r>
              <w:rPr>
                <w:i/>
                <w:highlight w:val="none"/>
              </w:rPr>
              <w:t>u</w:t>
            </w:r>
            <w:r>
              <w:rPr>
                <w:rFonts w:hint="eastAsia"/>
                <w:highlight w:val="none"/>
                <w:vertAlign w:val="subscript"/>
              </w:rPr>
              <w:t>1</w:t>
            </w:r>
          </w:p>
        </w:tc>
        <w:tc>
          <w:tcPr>
            <w:tcW w:w="3697" w:type="dxa"/>
            <w:vAlign w:val="center"/>
          </w:tcPr>
          <w:p w14:paraId="359EA800">
            <w:pPr>
              <w:jc w:val="center"/>
              <w:rPr>
                <w:szCs w:val="21"/>
                <w:highlight w:val="none"/>
              </w:rPr>
            </w:pPr>
            <w:r>
              <w:rPr>
                <w:rFonts w:hint="eastAsia"/>
                <w:highlight w:val="none"/>
              </w:rPr>
              <w:t>参比施照体</w:t>
            </w:r>
            <w:r>
              <w:rPr>
                <w:highlight w:val="none"/>
              </w:rPr>
              <w:t>的相关色温</w:t>
            </w:r>
          </w:p>
        </w:tc>
        <w:tc>
          <w:tcPr>
            <w:tcW w:w="1658" w:type="dxa"/>
            <w:vAlign w:val="center"/>
          </w:tcPr>
          <w:p w14:paraId="229FCDFC">
            <w:pPr>
              <w:jc w:val="center"/>
              <w:rPr>
                <w:szCs w:val="21"/>
                <w:highlight w:val="none"/>
              </w:rPr>
            </w:pPr>
            <w:r>
              <w:rPr>
                <w:szCs w:val="21"/>
                <w:highlight w:val="none"/>
              </w:rPr>
              <w:t>0</w:t>
            </w:r>
          </w:p>
        </w:tc>
      </w:tr>
      <w:tr w14:paraId="7A80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968" w:type="dxa"/>
            <w:vAlign w:val="center"/>
          </w:tcPr>
          <w:p w14:paraId="1A9DFCA9">
            <w:pPr>
              <w:jc w:val="center"/>
              <w:rPr>
                <w:szCs w:val="21"/>
                <w:highlight w:val="none"/>
              </w:rPr>
            </w:pPr>
            <w:r>
              <w:rPr>
                <w:i/>
                <w:highlight w:val="none"/>
              </w:rPr>
              <w:t>u</w:t>
            </w:r>
            <w:r>
              <w:rPr>
                <w:rFonts w:hint="eastAsia"/>
                <w:highlight w:val="none"/>
                <w:vertAlign w:val="subscript"/>
              </w:rPr>
              <w:t>2</w:t>
            </w:r>
          </w:p>
        </w:tc>
        <w:tc>
          <w:tcPr>
            <w:tcW w:w="3697" w:type="dxa"/>
            <w:vAlign w:val="center"/>
          </w:tcPr>
          <w:p w14:paraId="39F29711">
            <w:pPr>
              <w:jc w:val="center"/>
              <w:rPr>
                <w:szCs w:val="21"/>
                <w:highlight w:val="none"/>
              </w:rPr>
            </w:pPr>
            <w:r>
              <w:rPr>
                <w:highlight w:val="none"/>
              </w:rPr>
              <w:t>光谱</w:t>
            </w:r>
            <w:r>
              <w:rPr>
                <w:rFonts w:hint="eastAsia"/>
                <w:highlight w:val="none"/>
              </w:rPr>
              <w:t>密集度测量</w:t>
            </w:r>
          </w:p>
        </w:tc>
        <w:tc>
          <w:tcPr>
            <w:tcW w:w="1658" w:type="dxa"/>
            <w:vAlign w:val="center"/>
          </w:tcPr>
          <w:p w14:paraId="2A9A3F71">
            <w:pPr>
              <w:jc w:val="center"/>
              <w:rPr>
                <w:szCs w:val="21"/>
                <w:highlight w:val="none"/>
              </w:rPr>
            </w:pPr>
            <w:r>
              <w:rPr>
                <w:szCs w:val="21"/>
                <w:highlight w:val="none"/>
              </w:rPr>
              <w:t>0.</w:t>
            </w:r>
            <w:r>
              <w:rPr>
                <w:rFonts w:hint="eastAsia"/>
                <w:szCs w:val="21"/>
                <w:highlight w:val="none"/>
              </w:rPr>
              <w:t>12</w:t>
            </w:r>
          </w:p>
        </w:tc>
      </w:tr>
      <w:tr w14:paraId="5A3D9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968" w:type="dxa"/>
            <w:vAlign w:val="center"/>
          </w:tcPr>
          <w:p w14:paraId="3526DD50">
            <w:pPr>
              <w:jc w:val="center"/>
              <w:rPr>
                <w:szCs w:val="21"/>
                <w:highlight w:val="none"/>
              </w:rPr>
            </w:pPr>
            <w:r>
              <w:rPr>
                <w:i/>
                <w:highlight w:val="none"/>
              </w:rPr>
              <w:t>u</w:t>
            </w:r>
            <w:r>
              <w:rPr>
                <w:rFonts w:hint="eastAsia"/>
                <w:highlight w:val="none"/>
                <w:vertAlign w:val="subscript"/>
              </w:rPr>
              <w:t>3</w:t>
            </w:r>
          </w:p>
        </w:tc>
        <w:tc>
          <w:tcPr>
            <w:tcW w:w="3697" w:type="dxa"/>
            <w:vAlign w:val="center"/>
          </w:tcPr>
          <w:p w14:paraId="2F050C6C">
            <w:pPr>
              <w:jc w:val="center"/>
              <w:rPr>
                <w:szCs w:val="21"/>
                <w:highlight w:val="none"/>
              </w:rPr>
            </w:pPr>
            <w:r>
              <w:rPr>
                <w:highlight w:val="none"/>
              </w:rPr>
              <w:t>光谱范围</w:t>
            </w:r>
            <w:r>
              <w:rPr>
                <w:rFonts w:hint="eastAsia"/>
                <w:highlight w:val="none"/>
              </w:rPr>
              <w:t>与</w:t>
            </w:r>
            <w:r>
              <w:rPr>
                <w:highlight w:val="none"/>
              </w:rPr>
              <w:t>光谱间隔</w:t>
            </w:r>
          </w:p>
        </w:tc>
        <w:tc>
          <w:tcPr>
            <w:tcW w:w="1658" w:type="dxa"/>
            <w:vAlign w:val="center"/>
          </w:tcPr>
          <w:p w14:paraId="6FBA5436">
            <w:pPr>
              <w:jc w:val="center"/>
              <w:rPr>
                <w:szCs w:val="21"/>
                <w:highlight w:val="none"/>
              </w:rPr>
            </w:pPr>
            <w:r>
              <w:rPr>
                <w:rFonts w:hint="eastAsia"/>
                <w:szCs w:val="21"/>
                <w:highlight w:val="none"/>
              </w:rPr>
              <w:t>0.1</w:t>
            </w:r>
          </w:p>
        </w:tc>
      </w:tr>
      <w:tr w14:paraId="167AF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2968" w:type="dxa"/>
            <w:vAlign w:val="center"/>
          </w:tcPr>
          <w:p w14:paraId="0816DE79">
            <w:pPr>
              <w:jc w:val="center"/>
              <w:rPr>
                <w:szCs w:val="21"/>
                <w:highlight w:val="none"/>
              </w:rPr>
            </w:pPr>
            <w:r>
              <w:rPr>
                <w:i/>
                <w:highlight w:val="none"/>
              </w:rPr>
              <w:t>u</w:t>
            </w:r>
            <w:r>
              <w:rPr>
                <w:rFonts w:hint="eastAsia"/>
                <w:highlight w:val="none"/>
                <w:vertAlign w:val="subscript"/>
              </w:rPr>
              <w:t>4</w:t>
            </w:r>
          </w:p>
        </w:tc>
        <w:tc>
          <w:tcPr>
            <w:tcW w:w="3697" w:type="dxa"/>
            <w:vAlign w:val="center"/>
          </w:tcPr>
          <w:p w14:paraId="70616F38">
            <w:pPr>
              <w:jc w:val="center"/>
              <w:rPr>
                <w:szCs w:val="21"/>
                <w:highlight w:val="none"/>
              </w:rPr>
            </w:pPr>
            <w:r>
              <w:rPr>
                <w:rFonts w:hint="eastAsia"/>
                <w:szCs w:val="21"/>
                <w:highlight w:val="none"/>
              </w:rPr>
              <w:t>其它</w:t>
            </w:r>
          </w:p>
        </w:tc>
        <w:tc>
          <w:tcPr>
            <w:tcW w:w="1658" w:type="dxa"/>
            <w:vAlign w:val="center"/>
          </w:tcPr>
          <w:p w14:paraId="64F49813">
            <w:pPr>
              <w:jc w:val="center"/>
              <w:rPr>
                <w:szCs w:val="21"/>
                <w:highlight w:val="none"/>
              </w:rPr>
            </w:pPr>
            <w:r>
              <w:rPr>
                <w:rFonts w:hint="eastAsia"/>
                <w:szCs w:val="21"/>
                <w:highlight w:val="none"/>
              </w:rPr>
              <w:t>0.1</w:t>
            </w:r>
          </w:p>
        </w:tc>
      </w:tr>
      <w:tr w14:paraId="16B7C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968" w:type="dxa"/>
            <w:vAlign w:val="center"/>
          </w:tcPr>
          <w:p w14:paraId="076C2B97">
            <w:pPr>
              <w:jc w:val="center"/>
              <w:rPr>
                <w:szCs w:val="21"/>
                <w:highlight w:val="none"/>
              </w:rPr>
            </w:pPr>
            <w:r>
              <w:rPr>
                <w:rFonts w:hAnsi="宋体"/>
                <w:szCs w:val="21"/>
                <w:highlight w:val="none"/>
              </w:rPr>
              <w:t>合成不确定度</w:t>
            </w:r>
          </w:p>
        </w:tc>
        <w:tc>
          <w:tcPr>
            <w:tcW w:w="3697" w:type="dxa"/>
            <w:vAlign w:val="center"/>
          </w:tcPr>
          <w:p w14:paraId="5BD10610">
            <w:pPr>
              <w:jc w:val="center"/>
              <w:rPr>
                <w:szCs w:val="21"/>
                <w:highlight w:val="none"/>
              </w:rPr>
            </w:pPr>
            <w:r>
              <w:rPr>
                <w:rFonts w:hint="eastAsia"/>
                <w:szCs w:val="21"/>
                <w:highlight w:val="none"/>
              </w:rPr>
              <w:t>——</w:t>
            </w:r>
          </w:p>
        </w:tc>
        <w:tc>
          <w:tcPr>
            <w:tcW w:w="1658" w:type="dxa"/>
            <w:vAlign w:val="center"/>
          </w:tcPr>
          <w:p w14:paraId="7CE27537">
            <w:pPr>
              <w:jc w:val="center"/>
              <w:rPr>
                <w:szCs w:val="21"/>
                <w:highlight w:val="none"/>
              </w:rPr>
            </w:pPr>
            <w:r>
              <w:rPr>
                <w:szCs w:val="21"/>
                <w:highlight w:val="none"/>
              </w:rPr>
              <w:t>0.</w:t>
            </w:r>
            <w:r>
              <w:rPr>
                <w:rFonts w:hint="eastAsia"/>
                <w:szCs w:val="21"/>
                <w:highlight w:val="none"/>
              </w:rPr>
              <w:t>19</w:t>
            </w:r>
          </w:p>
        </w:tc>
      </w:tr>
      <w:tr w14:paraId="789B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2968" w:type="dxa"/>
            <w:vAlign w:val="center"/>
          </w:tcPr>
          <w:p w14:paraId="22F1B707">
            <w:pPr>
              <w:jc w:val="center"/>
              <w:rPr>
                <w:szCs w:val="21"/>
                <w:highlight w:val="none"/>
              </w:rPr>
            </w:pPr>
            <w:r>
              <w:rPr>
                <w:rFonts w:hint="eastAsia" w:hAnsi="宋体"/>
                <w:szCs w:val="21"/>
                <w:highlight w:val="none"/>
              </w:rPr>
              <w:t>扩展</w:t>
            </w:r>
            <w:r>
              <w:rPr>
                <w:rFonts w:hAnsi="宋体"/>
                <w:szCs w:val="21"/>
                <w:highlight w:val="none"/>
              </w:rPr>
              <w:t>不确定度</w:t>
            </w:r>
          </w:p>
          <w:p w14:paraId="2E075C37">
            <w:pPr>
              <w:jc w:val="center"/>
              <w:rPr>
                <w:szCs w:val="21"/>
                <w:highlight w:val="none"/>
              </w:rPr>
            </w:pPr>
            <w:r>
              <w:rPr>
                <w:rFonts w:hint="eastAsia"/>
                <w:szCs w:val="21"/>
                <w:highlight w:val="none"/>
              </w:rPr>
              <w:t>(</w:t>
            </w:r>
            <w:r>
              <w:rPr>
                <w:rFonts w:hint="eastAsia"/>
                <w:i/>
                <w:szCs w:val="21"/>
                <w:highlight w:val="none"/>
              </w:rPr>
              <w:t>k</w:t>
            </w:r>
            <w:r>
              <w:rPr>
                <w:rFonts w:hint="eastAsia"/>
                <w:szCs w:val="21"/>
                <w:highlight w:val="none"/>
              </w:rPr>
              <w:t>=2)</w:t>
            </w:r>
          </w:p>
        </w:tc>
        <w:tc>
          <w:tcPr>
            <w:tcW w:w="3697" w:type="dxa"/>
            <w:vAlign w:val="center"/>
          </w:tcPr>
          <w:p w14:paraId="6B696732">
            <w:pPr>
              <w:jc w:val="center"/>
              <w:rPr>
                <w:szCs w:val="21"/>
                <w:highlight w:val="none"/>
              </w:rPr>
            </w:pPr>
            <w:r>
              <w:rPr>
                <w:rFonts w:hint="eastAsia"/>
                <w:szCs w:val="21"/>
                <w:highlight w:val="none"/>
              </w:rPr>
              <w:t>——</w:t>
            </w:r>
          </w:p>
        </w:tc>
        <w:tc>
          <w:tcPr>
            <w:tcW w:w="1658" w:type="dxa"/>
            <w:vAlign w:val="center"/>
          </w:tcPr>
          <w:p w14:paraId="45A8D25D">
            <w:pPr>
              <w:jc w:val="center"/>
              <w:rPr>
                <w:szCs w:val="21"/>
                <w:highlight w:val="none"/>
              </w:rPr>
            </w:pPr>
            <w:r>
              <w:rPr>
                <w:rFonts w:hint="eastAsia"/>
                <w:szCs w:val="21"/>
                <w:highlight w:val="none"/>
              </w:rPr>
              <w:t>0.37</w:t>
            </w:r>
          </w:p>
        </w:tc>
      </w:tr>
    </w:tbl>
    <w:p w14:paraId="706F313E">
      <w:pPr>
        <w:ind w:firstLine="480" w:firstLineChars="200"/>
        <w:rPr>
          <w:highlight w:val="none"/>
        </w:rPr>
      </w:pPr>
      <w:r>
        <w:rPr>
          <w:rFonts w:hint="eastAsia"/>
          <w:highlight w:val="none"/>
        </w:rPr>
        <w:t>扩展不确定度取1位有效数字后，取</w:t>
      </w:r>
      <w:r>
        <w:rPr>
          <w:rFonts w:hint="eastAsia"/>
          <w:i/>
          <w:iCs/>
          <w:highlight w:val="none"/>
        </w:rPr>
        <w:t>U</w:t>
      </w:r>
      <w:r>
        <w:rPr>
          <w:highlight w:val="none"/>
        </w:rPr>
        <w:t xml:space="preserve"> </w:t>
      </w:r>
      <w:r>
        <w:rPr>
          <w:rFonts w:hint="eastAsia"/>
          <w:highlight w:val="none"/>
        </w:rPr>
        <w:t>=</w:t>
      </w:r>
      <w:r>
        <w:rPr>
          <w:highlight w:val="none"/>
        </w:rPr>
        <w:t xml:space="preserve"> </w:t>
      </w:r>
      <w:r>
        <w:rPr>
          <w:rFonts w:hint="eastAsia"/>
          <w:highlight w:val="none"/>
        </w:rPr>
        <w:t xml:space="preserve">0.4 </w:t>
      </w:r>
      <w:r>
        <w:rPr>
          <w:rFonts w:hint="eastAsia"/>
          <w:szCs w:val="21"/>
          <w:highlight w:val="none"/>
        </w:rPr>
        <w:t>(</w:t>
      </w:r>
      <w:r>
        <w:rPr>
          <w:rFonts w:hint="eastAsia"/>
          <w:i/>
          <w:szCs w:val="21"/>
          <w:highlight w:val="none"/>
        </w:rPr>
        <w:t>k</w:t>
      </w:r>
      <w:r>
        <w:rPr>
          <w:rFonts w:hint="eastAsia"/>
          <w:szCs w:val="21"/>
          <w:highlight w:val="none"/>
        </w:rPr>
        <w:t>=2)。</w:t>
      </w:r>
    </w:p>
    <w:bookmarkEnd w:id="56"/>
    <w:p w14:paraId="4EC08F3B">
      <w:pPr>
        <w:widowControl/>
        <w:jc w:val="left"/>
        <w:rPr>
          <w:highlight w:val="none"/>
        </w:rPr>
      </w:pPr>
      <w:r>
        <w:rPr>
          <w:highlight w:val="none"/>
        </w:rPr>
        <w:br w:type="page"/>
      </w:r>
    </w:p>
    <w:p w14:paraId="622C5792">
      <w:pPr>
        <w:keepNext/>
        <w:keepLines/>
        <w:adjustRightInd w:val="0"/>
        <w:snapToGrid w:val="0"/>
        <w:outlineLvl w:val="1"/>
        <w:rPr>
          <w:rFonts w:cstheme="majorBidi"/>
          <w:b/>
          <w:bCs/>
          <w:sz w:val="28"/>
          <w:highlight w:val="none"/>
        </w:rPr>
      </w:pPr>
      <w:bookmarkStart w:id="57" w:name="_Toc156381373"/>
      <w:r>
        <w:rPr>
          <w:rFonts w:hint="eastAsia" w:cstheme="majorBidi"/>
          <w:b/>
          <w:bCs/>
          <w:sz w:val="28"/>
          <w:highlight w:val="none"/>
        </w:rPr>
        <w:t>附录</w:t>
      </w:r>
      <w:r>
        <w:rPr>
          <w:rFonts w:cstheme="majorBidi"/>
          <w:b/>
          <w:bCs/>
          <w:sz w:val="28"/>
          <w:highlight w:val="none"/>
        </w:rPr>
        <w:t>D</w:t>
      </w:r>
      <w:bookmarkEnd w:id="57"/>
    </w:p>
    <w:p w14:paraId="5A2858E0">
      <w:pPr>
        <w:jc w:val="center"/>
        <w:rPr>
          <w:highlight w:val="none"/>
        </w:rPr>
      </w:pPr>
      <w:r>
        <w:rPr>
          <w:rFonts w:hint="eastAsia" w:ascii="黑体" w:hAnsi="黑体" w:eastAsia="黑体"/>
          <w:color w:val="000000"/>
          <w:sz w:val="28"/>
          <w:szCs w:val="28"/>
          <w:highlight w:val="none"/>
        </w:rPr>
        <w:t>显色指数计算方法</w:t>
      </w:r>
    </w:p>
    <w:p w14:paraId="6C382117">
      <w:pPr>
        <w:ind w:firstLine="480" w:firstLineChars="200"/>
        <w:rPr>
          <w:highlight w:val="none"/>
        </w:rPr>
      </w:pPr>
      <w:r>
        <w:rPr>
          <w:rFonts w:hint="eastAsia"/>
          <w:highlight w:val="none"/>
        </w:rPr>
        <w:t>显色指数计算分为以下步骤：</w:t>
      </w:r>
    </w:p>
    <w:p w14:paraId="405A5449">
      <w:pPr>
        <w:rPr>
          <w:highlight w:val="none"/>
        </w:rPr>
      </w:pPr>
      <w:r>
        <w:rPr>
          <w:highlight w:val="none"/>
        </w:rPr>
        <w:t>D1</w:t>
      </w:r>
      <w:r>
        <w:rPr>
          <w:rFonts w:hint="eastAsia"/>
          <w:highlight w:val="none"/>
        </w:rPr>
        <w:t xml:space="preserve"> 选择参比施照体</w:t>
      </w:r>
    </w:p>
    <w:p w14:paraId="70F02591">
      <w:pPr>
        <w:ind w:firstLine="480" w:firstLineChars="200"/>
        <w:rPr>
          <w:highlight w:val="none"/>
        </w:rPr>
      </w:pPr>
      <w:r>
        <w:rPr>
          <w:rFonts w:hint="eastAsia"/>
          <w:highlight w:val="none"/>
        </w:rPr>
        <w:t>参比施照体和被测灯应有相同或相近的色度。待测灯的相关色温不高于5</w:t>
      </w:r>
      <w:r>
        <w:rPr>
          <w:highlight w:val="none"/>
        </w:rPr>
        <w:t xml:space="preserve">000 </w:t>
      </w:r>
      <w:r>
        <w:rPr>
          <w:rFonts w:hint="eastAsia"/>
          <w:highlight w:val="none"/>
        </w:rPr>
        <w:t>K时，参比施照体应为普朗克辐射体。高于5000 K时，以组合</w:t>
      </w:r>
      <w:r>
        <w:rPr>
          <w:rFonts w:ascii="宋体" w:hAnsi="宋体" w:eastAsia="宋体"/>
          <w:color w:val="000000"/>
          <w:highlight w:val="none"/>
        </w:rPr>
        <w:t>昼光施照体</w:t>
      </w:r>
      <w:r>
        <w:rPr>
          <w:rFonts w:hint="eastAsia"/>
          <w:highlight w:val="none"/>
        </w:rPr>
        <w:t>作为参比施照体。</w:t>
      </w:r>
    </w:p>
    <w:p w14:paraId="43284763">
      <w:pPr>
        <w:ind w:firstLine="480" w:firstLineChars="200"/>
        <w:rPr>
          <w:highlight w:val="none"/>
        </w:rPr>
      </w:pPr>
      <w:r>
        <w:rPr>
          <w:rFonts w:hint="eastAsia"/>
          <w:highlight w:val="none"/>
        </w:rPr>
        <w:t>被测灯(</w:t>
      </w:r>
      <m:oMath>
        <m:sSub>
          <m:sSubPr>
            <m:ctrlPr>
              <w:rPr>
                <w:rFonts w:ascii="Cambria Math" w:hAnsi="Cambria Math"/>
                <w:i/>
                <w:highlight w:val="none"/>
              </w:rPr>
            </m:ctrlPr>
          </m:sSubPr>
          <m:e>
            <m:r>
              <m:rPr/>
              <w:rPr>
                <w:rFonts w:ascii="Cambria Math" w:hAnsi="Cambria Math"/>
                <w:highlight w:val="none"/>
              </w:rPr>
              <m:t>u</m:t>
            </m:r>
            <m:ctrlPr>
              <w:rPr>
                <w:rFonts w:ascii="Cambria Math" w:hAnsi="Cambria Math"/>
                <w:i/>
                <w:highlight w:val="none"/>
              </w:rPr>
            </m:ctrlPr>
          </m:e>
          <m:sub>
            <m:r>
              <m:rPr/>
              <w:rPr>
                <w:rFonts w:hint="eastAsia" w:ascii="Cambria Math" w:hAnsi="Cambria Math"/>
                <w:highlight w:val="none"/>
              </w:rPr>
              <m:t>k</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v</m:t>
            </m:r>
            <m:ctrlPr>
              <w:rPr>
                <w:rFonts w:ascii="Cambria Math" w:hAnsi="Cambria Math"/>
                <w:i/>
                <w:highlight w:val="none"/>
              </w:rPr>
            </m:ctrlPr>
          </m:e>
          <m:sub>
            <m:r>
              <m:rPr/>
              <w:rPr>
                <w:rFonts w:ascii="Cambria Math" w:hAnsi="Cambria Math"/>
                <w:highlight w:val="none"/>
              </w:rPr>
              <m:t>k</m:t>
            </m:r>
            <m:ctrlPr>
              <w:rPr>
                <w:rFonts w:ascii="Cambria Math" w:hAnsi="Cambria Math"/>
                <w:i/>
                <w:highlight w:val="none"/>
              </w:rPr>
            </m:ctrlPr>
          </m:sub>
        </m:sSub>
      </m:oMath>
      <w:r>
        <w:rPr>
          <w:rFonts w:hint="eastAsia"/>
          <w:highlight w:val="none"/>
        </w:rPr>
        <w:t>)与参比施照体(</w:t>
      </w:r>
      <m:oMath>
        <m:sSub>
          <m:sSubPr>
            <m:ctrlPr>
              <w:rPr>
                <w:rFonts w:ascii="Cambria Math" w:hAnsi="Cambria Math"/>
                <w:i/>
                <w:highlight w:val="none"/>
              </w:rPr>
            </m:ctrlPr>
          </m:sSubPr>
          <m:e>
            <m:r>
              <m:rPr/>
              <w:rPr>
                <w:rFonts w:ascii="Cambria Math" w:hAnsi="Cambria Math"/>
                <w:highlight w:val="none"/>
              </w:rPr>
              <m:t>u</m:t>
            </m:r>
            <m:ctrlPr>
              <w:rPr>
                <w:rFonts w:ascii="Cambria Math" w:hAnsi="Cambria Math"/>
                <w:i/>
                <w:highlight w:val="none"/>
              </w:rPr>
            </m:ctrlPr>
          </m:e>
          <m:sub>
            <m:r>
              <m:rPr/>
              <w:rPr>
                <w:rFonts w:ascii="Cambria Math" w:hAnsi="Cambria Math"/>
                <w:highlight w:val="none"/>
              </w:rPr>
              <m:t>r</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v</m:t>
            </m:r>
            <m:ctrlPr>
              <w:rPr>
                <w:rFonts w:ascii="Cambria Math" w:hAnsi="Cambria Math"/>
                <w:i/>
                <w:highlight w:val="none"/>
              </w:rPr>
            </m:ctrlPr>
          </m:e>
          <m:sub>
            <m:r>
              <m:rPr/>
              <w:rPr>
                <w:rFonts w:ascii="Cambria Math" w:hAnsi="Cambria Math"/>
                <w:highlight w:val="none"/>
              </w:rPr>
              <m:t>r</m:t>
            </m:r>
            <m:ctrlPr>
              <w:rPr>
                <w:rFonts w:ascii="Cambria Math" w:hAnsi="Cambria Math"/>
                <w:i/>
                <w:highlight w:val="none"/>
              </w:rPr>
            </m:ctrlPr>
          </m:sub>
        </m:sSub>
      </m:oMath>
      <w:r>
        <w:rPr>
          <w:rFonts w:hint="eastAsia"/>
          <w:highlight w:val="none"/>
        </w:rPr>
        <w:t>)的色品偏差</w:t>
      </w:r>
      <m:oMath>
        <m:r>
          <m:rPr/>
          <w:rPr>
            <w:rFonts w:ascii="Cambria Math" w:hAnsi="Cambria Math"/>
            <w:highlight w:val="none"/>
          </w:rPr>
          <m:t>∆</m:t>
        </m:r>
        <m:r>
          <m:rPr/>
          <w:rPr>
            <w:rFonts w:hint="eastAsia" w:ascii="Cambria Math" w:hAnsi="Cambria Math"/>
            <w:highlight w:val="none"/>
          </w:rPr>
          <m:t>c</m:t>
        </m:r>
      </m:oMath>
      <w:r>
        <w:rPr>
          <w:rFonts w:hint="eastAsia"/>
          <w:highlight w:val="none"/>
        </w:rPr>
        <w:t>应小于5.4×10</w:t>
      </w:r>
      <w:r>
        <w:rPr>
          <w:rFonts w:hint="eastAsia"/>
          <w:highlight w:val="none"/>
          <w:vertAlign w:val="superscript"/>
        </w:rPr>
        <w:t>-</w:t>
      </w:r>
      <w:r>
        <w:rPr>
          <w:highlight w:val="none"/>
          <w:vertAlign w:val="superscript"/>
        </w:rPr>
        <w:t>3</w:t>
      </w:r>
      <w:r>
        <w:rPr>
          <w:rFonts w:hint="eastAsia"/>
          <w:highlight w:val="none"/>
        </w:rPr>
        <w:t>，</w:t>
      </w:r>
      <m:oMath>
        <m:r>
          <m:rPr/>
          <w:rPr>
            <w:rFonts w:ascii="Cambria Math" w:hAnsi="Cambria Math"/>
            <w:highlight w:val="none"/>
          </w:rPr>
          <m:t>∆</m:t>
        </m:r>
        <m:r>
          <m:rPr/>
          <w:rPr>
            <w:rFonts w:hint="eastAsia" w:ascii="Cambria Math" w:hAnsi="Cambria Math"/>
            <w:highlight w:val="none"/>
          </w:rPr>
          <m:t>c</m:t>
        </m:r>
      </m:oMath>
      <w:r>
        <w:rPr>
          <w:rFonts w:hint="eastAsia"/>
          <w:highlight w:val="none"/>
        </w:rPr>
        <w:t xml:space="preserve">由下式得出： </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4110"/>
        <w:gridCol w:w="1985"/>
      </w:tblGrid>
      <w:tr w14:paraId="087EF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7" w:type="dxa"/>
            <w:vAlign w:val="center"/>
          </w:tcPr>
          <w:p w14:paraId="58D1C6DF">
            <w:pPr>
              <w:jc w:val="left"/>
              <w:rPr>
                <w:highlight w:val="none"/>
              </w:rPr>
            </w:pPr>
          </w:p>
        </w:tc>
        <w:tc>
          <w:tcPr>
            <w:tcW w:w="4110" w:type="dxa"/>
            <w:vAlign w:val="center"/>
          </w:tcPr>
          <w:p w14:paraId="02C72F55">
            <w:pPr>
              <w:ind w:leftChars="-2" w:hanging="4" w:hangingChars="2"/>
              <w:jc w:val="center"/>
              <w:rPr>
                <w:highlight w:val="none"/>
              </w:rPr>
            </w:pPr>
            <m:oMathPara>
              <m:oMath>
                <m:r>
                  <m:rPr/>
                  <w:rPr>
                    <w:rFonts w:ascii="Cambria Math" w:hAnsi="Cambria Math"/>
                    <w:highlight w:val="none"/>
                  </w:rPr>
                  <m:t>∆</m:t>
                </m:r>
                <m:r>
                  <m:rPr/>
                  <w:rPr>
                    <w:rFonts w:hint="eastAsia" w:ascii="Cambria Math" w:hAnsi="Cambria Math"/>
                    <w:highlight w:val="none"/>
                  </w:rPr>
                  <m:t>c=</m:t>
                </m:r>
                <m:sSup>
                  <m:sSupPr>
                    <m:ctrlPr>
                      <w:rPr>
                        <w:rFonts w:ascii="Cambria Math" w:hAnsi="Cambria Math"/>
                        <w:i/>
                        <w:highlight w:val="none"/>
                      </w:rPr>
                    </m:ctrlPr>
                  </m:sSupPr>
                  <m:e>
                    <m:d>
                      <m:dPr>
                        <m:begChr m:val="["/>
                        <m:endChr m:val="]"/>
                        <m:ctrlPr>
                          <w:rPr>
                            <w:rFonts w:ascii="Cambria Math" w:hAnsi="Cambria Math"/>
                            <w:i/>
                            <w:highlight w:val="none"/>
                          </w:rPr>
                        </m:ctrlPr>
                      </m:dPr>
                      <m:e>
                        <m:sSup>
                          <m:sSupPr>
                            <m:ctrlPr>
                              <w:rPr>
                                <w:rFonts w:ascii="Cambria Math" w:hAnsi="Cambria Math"/>
                                <w:i/>
                                <w:highlight w:val="none"/>
                              </w:rPr>
                            </m:ctrlPr>
                          </m:sSupPr>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u</m:t>
                                    </m:r>
                                    <m:ctrlPr>
                                      <w:rPr>
                                        <w:rFonts w:ascii="Cambria Math" w:hAnsi="Cambria Math"/>
                                        <w:i/>
                                        <w:highlight w:val="none"/>
                                      </w:rPr>
                                    </m:ctrlPr>
                                  </m:e>
                                  <m:sub>
                                    <m:r>
                                      <m:rPr/>
                                      <w:rPr>
                                        <w:rFonts w:hint="eastAsia" w:ascii="Cambria Math" w:hAnsi="Cambria Math"/>
                                        <w:highlight w:val="none"/>
                                      </w:rPr>
                                      <m:t>k</m:t>
                                    </m:r>
                                    <m:ctrlPr>
                                      <w:rPr>
                                        <w:rFonts w:ascii="Cambria Math" w:hAnsi="Cambria Math"/>
                                        <w:i/>
                                        <w:highlight w:val="none"/>
                                      </w:rPr>
                                    </m:ctrlPr>
                                  </m:sub>
                                </m:sSub>
                                <m:r>
                                  <m:rPr/>
                                  <w:rPr>
                                    <w:rFonts w:hint="eastAsia" w:ascii="微软雅黑" w:hAnsi="微软雅黑" w:eastAsia="微软雅黑" w:cs="微软雅黑"/>
                                    <w:highlight w:val="none"/>
                                  </w:rPr>
                                  <m:t>−</m:t>
                                </m:r>
                                <m:sSub>
                                  <m:sSubPr>
                                    <m:ctrlPr>
                                      <w:rPr>
                                        <w:rFonts w:ascii="Cambria Math" w:hAnsi="Cambria Math"/>
                                        <w:i/>
                                        <w:highlight w:val="none"/>
                                      </w:rPr>
                                    </m:ctrlPr>
                                  </m:sSubPr>
                                  <m:e>
                                    <m:r>
                                      <m:rPr/>
                                      <w:rPr>
                                        <w:rFonts w:ascii="Cambria Math" w:hAnsi="Cambria Math"/>
                                        <w:highlight w:val="none"/>
                                      </w:rPr>
                                      <m:t>u</m:t>
                                    </m:r>
                                    <m:ctrlPr>
                                      <w:rPr>
                                        <w:rFonts w:ascii="Cambria Math" w:hAnsi="Cambria Math"/>
                                        <w:i/>
                                        <w:highlight w:val="none"/>
                                      </w:rPr>
                                    </m:ctrlPr>
                                  </m:e>
                                  <m:sub>
                                    <m:r>
                                      <m:rPr/>
                                      <w:rPr>
                                        <w:rFonts w:ascii="Cambria Math" w:hAnsi="Cambria Math"/>
                                        <w:highlight w:val="none"/>
                                      </w:rPr>
                                      <m:t>r</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sup>
                            <m:r>
                              <m:rPr/>
                              <w:rPr>
                                <w:rFonts w:ascii="Cambria Math" w:hAnsi="Cambria Math"/>
                                <w:highlight w:val="none"/>
                              </w:rPr>
                              <m:t>2</m:t>
                            </m:r>
                            <m:ctrlPr>
                              <w:rPr>
                                <w:rFonts w:ascii="Cambria Math" w:hAnsi="Cambria Math"/>
                                <w:i/>
                                <w:highlight w:val="none"/>
                              </w:rPr>
                            </m:ctrlPr>
                          </m:sup>
                        </m:sSup>
                        <m:r>
                          <m:rPr/>
                          <w:rPr>
                            <w:rFonts w:hint="eastAsia" w:ascii="Cambria Math" w:hAnsi="Cambria Math"/>
                            <w:highlight w:val="none"/>
                          </w:rPr>
                          <m:t>+</m:t>
                        </m:r>
                        <m:sSup>
                          <m:sSupPr>
                            <m:ctrlPr>
                              <w:rPr>
                                <w:rFonts w:ascii="Cambria Math" w:hAnsi="Cambria Math"/>
                                <w:i/>
                                <w:highlight w:val="none"/>
                              </w:rPr>
                            </m:ctrlPr>
                          </m:sSupPr>
                          <m:e>
                            <m:d>
                              <m:dPr>
                                <m:ctrlPr>
                                  <w:rPr>
                                    <w:rFonts w:ascii="Cambria Math" w:hAnsi="Cambria Math"/>
                                    <w:i/>
                                    <w:highlight w:val="none"/>
                                  </w:rPr>
                                </m:ctrlPr>
                              </m:dPr>
                              <m:e>
                                <m:sSub>
                                  <m:sSubPr>
                                    <m:ctrlPr>
                                      <w:rPr>
                                        <w:rFonts w:ascii="Cambria Math" w:hAnsi="Cambria Math"/>
                                        <w:i/>
                                        <w:highlight w:val="none"/>
                                      </w:rPr>
                                    </m:ctrlPr>
                                  </m:sSubPr>
                                  <m:e>
                                    <m:r>
                                      <m:rPr/>
                                      <w:rPr>
                                        <w:rFonts w:ascii="Cambria Math" w:hAnsi="Cambria Math"/>
                                        <w:highlight w:val="none"/>
                                      </w:rPr>
                                      <m:t>v</m:t>
                                    </m:r>
                                    <m:ctrlPr>
                                      <w:rPr>
                                        <w:rFonts w:ascii="Cambria Math" w:hAnsi="Cambria Math"/>
                                        <w:i/>
                                        <w:highlight w:val="none"/>
                                      </w:rPr>
                                    </m:ctrlPr>
                                  </m:e>
                                  <m:sub>
                                    <m:r>
                                      <m:rPr/>
                                      <w:rPr>
                                        <w:rFonts w:hint="eastAsia" w:ascii="Cambria Math" w:hAnsi="Cambria Math"/>
                                        <w:highlight w:val="none"/>
                                      </w:rPr>
                                      <m:t>k</m:t>
                                    </m:r>
                                    <m:ctrlPr>
                                      <w:rPr>
                                        <w:rFonts w:ascii="Cambria Math" w:hAnsi="Cambria Math"/>
                                        <w:i/>
                                        <w:highlight w:val="none"/>
                                      </w:rPr>
                                    </m:ctrlPr>
                                  </m:sub>
                                </m:sSub>
                                <m:r>
                                  <m:rPr/>
                                  <w:rPr>
                                    <w:rFonts w:hint="eastAsia" w:ascii="微软雅黑" w:hAnsi="微软雅黑" w:eastAsia="微软雅黑" w:cs="微软雅黑"/>
                                    <w:highlight w:val="none"/>
                                  </w:rPr>
                                  <m:t>−</m:t>
                                </m:r>
                                <m:sSub>
                                  <m:sSubPr>
                                    <m:ctrlPr>
                                      <w:rPr>
                                        <w:rFonts w:ascii="Cambria Math" w:hAnsi="Cambria Math"/>
                                        <w:i/>
                                        <w:highlight w:val="none"/>
                                      </w:rPr>
                                    </m:ctrlPr>
                                  </m:sSubPr>
                                  <m:e>
                                    <m:r>
                                      <m:rPr/>
                                      <w:rPr>
                                        <w:rFonts w:ascii="Cambria Math" w:hAnsi="Cambria Math"/>
                                        <w:highlight w:val="none"/>
                                      </w:rPr>
                                      <m:t>v</m:t>
                                    </m:r>
                                    <m:ctrlPr>
                                      <w:rPr>
                                        <w:rFonts w:ascii="Cambria Math" w:hAnsi="Cambria Math"/>
                                        <w:i/>
                                        <w:highlight w:val="none"/>
                                      </w:rPr>
                                    </m:ctrlPr>
                                  </m:e>
                                  <m:sub>
                                    <m:r>
                                      <m:rPr/>
                                      <w:rPr>
                                        <w:rFonts w:ascii="Cambria Math" w:hAnsi="Cambria Math"/>
                                        <w:highlight w:val="none"/>
                                      </w:rPr>
                                      <m:t>r</m:t>
                                    </m:r>
                                    <m:ctrlPr>
                                      <w:rPr>
                                        <w:rFonts w:ascii="Cambria Math" w:hAnsi="Cambria Math"/>
                                        <w:i/>
                                        <w:highlight w:val="none"/>
                                      </w:rPr>
                                    </m:ctrlPr>
                                  </m:sub>
                                </m:sSub>
                                <m:ctrlPr>
                                  <w:rPr>
                                    <w:rFonts w:ascii="Cambria Math" w:hAnsi="Cambria Math"/>
                                    <w:i/>
                                    <w:highlight w:val="none"/>
                                  </w:rPr>
                                </m:ctrlPr>
                              </m:e>
                            </m:d>
                            <m:ctrlPr>
                              <w:rPr>
                                <w:rFonts w:ascii="Cambria Math" w:hAnsi="Cambria Math"/>
                                <w:i/>
                                <w:highlight w:val="none"/>
                              </w:rPr>
                            </m:ctrlPr>
                          </m:e>
                          <m:sup>
                            <m:r>
                              <m:rPr/>
                              <w:rPr>
                                <w:rFonts w:ascii="Cambria Math" w:hAnsi="Cambria Math"/>
                                <w:highlight w:val="none"/>
                              </w:rPr>
                              <m:t>2</m:t>
                            </m:r>
                            <m:ctrlPr>
                              <w:rPr>
                                <w:rFonts w:ascii="Cambria Math" w:hAnsi="Cambria Math"/>
                                <w:i/>
                                <w:highlight w:val="none"/>
                              </w:rPr>
                            </m:ctrlPr>
                          </m:sup>
                        </m:sSup>
                        <m:ctrlPr>
                          <w:rPr>
                            <w:rFonts w:ascii="Cambria Math" w:hAnsi="Cambria Math"/>
                            <w:i/>
                            <w:highlight w:val="none"/>
                          </w:rPr>
                        </m:ctrlPr>
                      </m:e>
                    </m:d>
                    <m:ctrlPr>
                      <w:rPr>
                        <w:rFonts w:ascii="Cambria Math" w:hAnsi="Cambria Math"/>
                        <w:i/>
                        <w:highlight w:val="none"/>
                      </w:rPr>
                    </m:ctrlPr>
                  </m:e>
                  <m:sup>
                    <m:r>
                      <m:rPr/>
                      <w:rPr>
                        <w:rFonts w:ascii="Cambria Math" w:hAnsi="Cambria Math"/>
                        <w:highlight w:val="none"/>
                      </w:rPr>
                      <m:t>1/2</m:t>
                    </m:r>
                    <m:ctrlPr>
                      <w:rPr>
                        <w:rFonts w:ascii="Cambria Math" w:hAnsi="Cambria Math"/>
                        <w:i/>
                        <w:highlight w:val="none"/>
                      </w:rPr>
                    </m:ctrlPr>
                  </m:sup>
                </m:sSup>
              </m:oMath>
            </m:oMathPara>
          </w:p>
        </w:tc>
        <w:tc>
          <w:tcPr>
            <w:tcW w:w="1985" w:type="dxa"/>
            <w:vAlign w:val="center"/>
          </w:tcPr>
          <w:p w14:paraId="2E6F8CF2">
            <w:pPr>
              <w:ind w:firstLine="480"/>
              <w:jc w:val="right"/>
              <w:rPr>
                <w:highlight w:val="none"/>
              </w:rPr>
            </w:pPr>
            <w:r>
              <w:rPr>
                <w:highlight w:val="none"/>
              </w:rPr>
              <w:t>(D.1)</w:t>
            </w:r>
          </w:p>
        </w:tc>
      </w:tr>
    </w:tbl>
    <w:p w14:paraId="6F1C5A2F">
      <w:pPr>
        <w:rPr>
          <w:highlight w:val="none"/>
        </w:rPr>
      </w:pPr>
      <w:r>
        <w:rPr>
          <w:highlight w:val="none"/>
        </w:rPr>
        <w:t xml:space="preserve">D2 </w:t>
      </w:r>
      <w:r>
        <w:rPr>
          <w:rFonts w:hint="eastAsia"/>
          <w:highlight w:val="none"/>
        </w:rPr>
        <w:t>试验色样</w:t>
      </w:r>
    </w:p>
    <w:p w14:paraId="7AF930C2">
      <w:pPr>
        <w:ind w:firstLine="480" w:firstLineChars="200"/>
        <w:rPr>
          <w:highlight w:val="none"/>
        </w:rPr>
      </w:pPr>
      <w:r>
        <w:rPr>
          <w:rFonts w:hint="eastAsia"/>
          <w:highlight w:val="none"/>
        </w:rPr>
        <w:t>选定8个特定的CIE—1974试验色样(</w:t>
      </w:r>
      <w:r>
        <w:rPr>
          <w:i/>
          <w:iCs/>
          <w:highlight w:val="none"/>
        </w:rPr>
        <w:t>i</w:t>
      </w:r>
      <w:r>
        <w:rPr>
          <w:highlight w:val="none"/>
        </w:rPr>
        <w:t xml:space="preserve"> </w:t>
      </w:r>
      <w:r>
        <w:rPr>
          <w:rFonts w:hint="eastAsia"/>
          <w:highlight w:val="none"/>
        </w:rPr>
        <w:t>= 1 , ...... , 8)用于评价一般显色指数，见表3。这些样本覆盖了色相环，饱和度适中，并且视亮度大致相同。</w:t>
      </w:r>
    </w:p>
    <w:p w14:paraId="5A71FE0E">
      <w:pPr>
        <w:ind w:firstLine="480" w:firstLineChars="200"/>
        <w:rPr>
          <w:highlight w:val="none"/>
        </w:rPr>
      </w:pPr>
      <w:r>
        <w:rPr>
          <w:rFonts w:hint="eastAsia"/>
          <w:highlight w:val="none"/>
        </w:rPr>
        <w:t>进一步的CIE—1974试验色样(</w:t>
      </w:r>
      <w:r>
        <w:rPr>
          <w:i/>
          <w:iCs/>
          <w:highlight w:val="none"/>
        </w:rPr>
        <w:t>i</w:t>
      </w:r>
      <w:r>
        <w:rPr>
          <w:highlight w:val="none"/>
        </w:rPr>
        <w:t xml:space="preserve"> </w:t>
      </w:r>
      <w:r>
        <w:rPr>
          <w:rFonts w:hint="eastAsia"/>
          <w:highlight w:val="none"/>
        </w:rPr>
        <w:t>= 9, ......</w:t>
      </w:r>
      <w:r>
        <w:rPr>
          <w:highlight w:val="none"/>
        </w:rPr>
        <w:t xml:space="preserve">, </w:t>
      </w:r>
      <w:r>
        <w:rPr>
          <w:rFonts w:hint="eastAsia"/>
          <w:highlight w:val="none"/>
        </w:rPr>
        <w:t>1</w:t>
      </w:r>
      <w:r>
        <w:rPr>
          <w:highlight w:val="none"/>
        </w:rPr>
        <w:t>4</w:t>
      </w:r>
      <w:r>
        <w:rPr>
          <w:rFonts w:hint="eastAsia"/>
          <w:highlight w:val="none"/>
        </w:rPr>
        <w:t>)分别代表深红、深黄、深绿、深蓝、人的肤色和叶子的绿色，见表3。这些样本在视亮度和饱和度上有很大不同。</w:t>
      </w:r>
    </w:p>
    <w:p w14:paraId="09C8BE52">
      <w:pPr>
        <w:pStyle w:val="3"/>
        <w:keepNext/>
        <w:jc w:val="center"/>
        <w:rPr>
          <w:highlight w:val="none"/>
        </w:rPr>
      </w:pPr>
      <w:r>
        <w:rPr>
          <w:rFonts w:hint="eastAsia"/>
          <w:highlight w:val="none"/>
        </w:rPr>
        <w:t xml:space="preserve">表 </w:t>
      </w:r>
      <w:r>
        <w:rPr>
          <w:highlight w:val="none"/>
        </w:rPr>
        <w:fldChar w:fldCharType="begin"/>
      </w:r>
      <w:r>
        <w:rPr>
          <w:highlight w:val="none"/>
        </w:rPr>
        <w:instrText xml:space="preserve"> </w:instrText>
      </w:r>
      <w:r>
        <w:rPr>
          <w:rFonts w:hint="eastAsia"/>
          <w:highlight w:val="none"/>
        </w:rPr>
        <w:instrText xml:space="preserve">SEQ 表 \* ARABIC</w:instrText>
      </w:r>
      <w:r>
        <w:rPr>
          <w:highlight w:val="none"/>
        </w:rPr>
        <w:instrText xml:space="preserve"> </w:instrText>
      </w:r>
      <w:r>
        <w:rPr>
          <w:highlight w:val="none"/>
        </w:rPr>
        <w:fldChar w:fldCharType="separate"/>
      </w:r>
      <w:r>
        <w:rPr>
          <w:highlight w:val="none"/>
        </w:rPr>
        <w:t>3</w:t>
      </w:r>
      <w:r>
        <w:rPr>
          <w:highlight w:val="none"/>
        </w:rPr>
        <w:fldChar w:fldCharType="end"/>
      </w:r>
      <w:r>
        <w:rPr>
          <w:highlight w:val="none"/>
        </w:rPr>
        <w:t xml:space="preserve"> </w:t>
      </w:r>
      <w:r>
        <w:rPr>
          <w:rFonts w:hint="eastAsia"/>
          <w:highlight w:val="none"/>
        </w:rPr>
        <w:t>CIE—1974试验色样</w:t>
      </w:r>
    </w:p>
    <w:tbl>
      <w:tblPr>
        <w:tblStyle w:val="8"/>
        <w:tblW w:w="7078" w:type="dxa"/>
        <w:jc w:val="center"/>
        <w:tblLayout w:type="autofit"/>
        <w:tblCellMar>
          <w:top w:w="0" w:type="dxa"/>
          <w:left w:w="108" w:type="dxa"/>
          <w:bottom w:w="0" w:type="dxa"/>
          <w:right w:w="108" w:type="dxa"/>
        </w:tblCellMar>
      </w:tblPr>
      <w:tblGrid>
        <w:gridCol w:w="2140"/>
        <w:gridCol w:w="2386"/>
        <w:gridCol w:w="2552"/>
      </w:tblGrid>
      <w:tr w14:paraId="5EE68F9A">
        <w:tblPrEx>
          <w:tblCellMar>
            <w:top w:w="0" w:type="dxa"/>
            <w:left w:w="108" w:type="dxa"/>
            <w:bottom w:w="0" w:type="dxa"/>
            <w:right w:w="108" w:type="dxa"/>
          </w:tblCellMar>
        </w:tblPrEx>
        <w:trPr>
          <w:trHeight w:val="548" w:hRule="atLeast"/>
          <w:jc w:val="center"/>
        </w:trPr>
        <w:tc>
          <w:tcPr>
            <w:tcW w:w="2140" w:type="dxa"/>
            <w:tcBorders>
              <w:top w:val="single" w:color="auto" w:sz="8" w:space="0"/>
              <w:left w:val="single" w:color="auto" w:sz="8" w:space="0"/>
              <w:bottom w:val="single" w:color="auto" w:sz="8" w:space="0"/>
              <w:right w:val="single" w:color="auto" w:sz="4" w:space="0"/>
            </w:tcBorders>
            <w:shd w:val="clear" w:color="auto" w:fill="auto"/>
            <w:noWrap/>
            <w:vAlign w:val="center"/>
          </w:tcPr>
          <w:p w14:paraId="2654D24C">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序号</w:t>
            </w:r>
          </w:p>
        </w:tc>
        <w:tc>
          <w:tcPr>
            <w:tcW w:w="2386" w:type="dxa"/>
            <w:tcBorders>
              <w:top w:val="single" w:color="auto" w:sz="8" w:space="0"/>
              <w:left w:val="nil"/>
              <w:bottom w:val="single" w:color="auto" w:sz="8" w:space="0"/>
              <w:right w:val="single" w:color="auto" w:sz="4" w:space="0"/>
            </w:tcBorders>
            <w:shd w:val="clear" w:color="auto" w:fill="auto"/>
            <w:noWrap/>
            <w:vAlign w:val="center"/>
          </w:tcPr>
          <w:p w14:paraId="1F146642">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近似孟塞尔符号</w:t>
            </w:r>
          </w:p>
        </w:tc>
        <w:tc>
          <w:tcPr>
            <w:tcW w:w="2552" w:type="dxa"/>
            <w:tcBorders>
              <w:top w:val="single" w:color="auto" w:sz="8" w:space="0"/>
              <w:left w:val="nil"/>
              <w:bottom w:val="single" w:color="auto" w:sz="8" w:space="0"/>
              <w:right w:val="single" w:color="auto" w:sz="8" w:space="0"/>
            </w:tcBorders>
            <w:shd w:val="clear" w:color="auto" w:fill="auto"/>
            <w:noWrap/>
            <w:vAlign w:val="center"/>
          </w:tcPr>
          <w:p w14:paraId="6CA3B1B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日光下的色表</w:t>
            </w:r>
          </w:p>
        </w:tc>
      </w:tr>
      <w:tr w14:paraId="6F50CE74">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4E1FEF2C">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w:t>
            </w:r>
          </w:p>
        </w:tc>
        <w:tc>
          <w:tcPr>
            <w:tcW w:w="2386" w:type="dxa"/>
            <w:tcBorders>
              <w:top w:val="nil"/>
              <w:left w:val="nil"/>
              <w:bottom w:val="single" w:color="auto" w:sz="4" w:space="0"/>
              <w:right w:val="single" w:color="auto" w:sz="4" w:space="0"/>
            </w:tcBorders>
            <w:shd w:val="clear" w:color="auto" w:fill="auto"/>
            <w:noWrap/>
            <w:vAlign w:val="bottom"/>
          </w:tcPr>
          <w:p w14:paraId="3A2737D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7.5 R 6/4</w:t>
            </w:r>
          </w:p>
        </w:tc>
        <w:tc>
          <w:tcPr>
            <w:tcW w:w="2552" w:type="dxa"/>
            <w:tcBorders>
              <w:top w:val="nil"/>
              <w:left w:val="nil"/>
              <w:bottom w:val="single" w:color="auto" w:sz="4" w:space="0"/>
              <w:right w:val="single" w:color="auto" w:sz="8" w:space="0"/>
            </w:tcBorders>
            <w:shd w:val="clear" w:color="auto" w:fill="auto"/>
            <w:noWrap/>
            <w:vAlign w:val="bottom"/>
          </w:tcPr>
          <w:p w14:paraId="0D96DAB3">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浅灰红色</w:t>
            </w:r>
          </w:p>
        </w:tc>
      </w:tr>
      <w:tr w14:paraId="6873C005">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0A0D38A5">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2</w:t>
            </w:r>
          </w:p>
        </w:tc>
        <w:tc>
          <w:tcPr>
            <w:tcW w:w="2386" w:type="dxa"/>
            <w:tcBorders>
              <w:top w:val="nil"/>
              <w:left w:val="nil"/>
              <w:bottom w:val="single" w:color="auto" w:sz="4" w:space="0"/>
              <w:right w:val="single" w:color="auto" w:sz="4" w:space="0"/>
            </w:tcBorders>
            <w:shd w:val="clear" w:color="auto" w:fill="auto"/>
            <w:noWrap/>
            <w:vAlign w:val="bottom"/>
          </w:tcPr>
          <w:p w14:paraId="3842D933">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5 Y 6/4</w:t>
            </w:r>
          </w:p>
        </w:tc>
        <w:tc>
          <w:tcPr>
            <w:tcW w:w="2552" w:type="dxa"/>
            <w:tcBorders>
              <w:top w:val="nil"/>
              <w:left w:val="nil"/>
              <w:bottom w:val="single" w:color="auto" w:sz="4" w:space="0"/>
              <w:right w:val="single" w:color="auto" w:sz="8" w:space="0"/>
            </w:tcBorders>
            <w:shd w:val="clear" w:color="auto" w:fill="auto"/>
            <w:noWrap/>
            <w:vAlign w:val="bottom"/>
          </w:tcPr>
          <w:p w14:paraId="77934966">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暗灰黄色</w:t>
            </w:r>
          </w:p>
        </w:tc>
      </w:tr>
      <w:tr w14:paraId="3008B8AD">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3B9A644C">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3</w:t>
            </w:r>
          </w:p>
        </w:tc>
        <w:tc>
          <w:tcPr>
            <w:tcW w:w="2386" w:type="dxa"/>
            <w:tcBorders>
              <w:top w:val="nil"/>
              <w:left w:val="nil"/>
              <w:bottom w:val="single" w:color="auto" w:sz="4" w:space="0"/>
              <w:right w:val="single" w:color="auto" w:sz="4" w:space="0"/>
            </w:tcBorders>
            <w:shd w:val="clear" w:color="auto" w:fill="auto"/>
            <w:noWrap/>
            <w:vAlign w:val="bottom"/>
          </w:tcPr>
          <w:p w14:paraId="2D068157">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5 GY 6/8</w:t>
            </w:r>
          </w:p>
        </w:tc>
        <w:tc>
          <w:tcPr>
            <w:tcW w:w="2552" w:type="dxa"/>
            <w:tcBorders>
              <w:top w:val="nil"/>
              <w:left w:val="nil"/>
              <w:bottom w:val="single" w:color="auto" w:sz="4" w:space="0"/>
              <w:right w:val="single" w:color="auto" w:sz="8" w:space="0"/>
            </w:tcBorders>
            <w:shd w:val="clear" w:color="auto" w:fill="auto"/>
            <w:noWrap/>
            <w:vAlign w:val="bottom"/>
          </w:tcPr>
          <w:p w14:paraId="6D9CB640">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深黄绿色</w:t>
            </w:r>
          </w:p>
        </w:tc>
      </w:tr>
      <w:tr w14:paraId="448EEBAC">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59A18F66">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4</w:t>
            </w:r>
          </w:p>
        </w:tc>
        <w:tc>
          <w:tcPr>
            <w:tcW w:w="2386" w:type="dxa"/>
            <w:tcBorders>
              <w:top w:val="nil"/>
              <w:left w:val="nil"/>
              <w:bottom w:val="single" w:color="auto" w:sz="4" w:space="0"/>
              <w:right w:val="single" w:color="auto" w:sz="4" w:space="0"/>
            </w:tcBorders>
            <w:shd w:val="clear" w:color="auto" w:fill="auto"/>
            <w:noWrap/>
            <w:vAlign w:val="bottom"/>
          </w:tcPr>
          <w:p w14:paraId="260731FE">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2.5 G 6/6</w:t>
            </w:r>
          </w:p>
        </w:tc>
        <w:tc>
          <w:tcPr>
            <w:tcW w:w="2552" w:type="dxa"/>
            <w:tcBorders>
              <w:top w:val="nil"/>
              <w:left w:val="nil"/>
              <w:bottom w:val="single" w:color="auto" w:sz="4" w:space="0"/>
              <w:right w:val="single" w:color="auto" w:sz="8" w:space="0"/>
            </w:tcBorders>
            <w:shd w:val="clear" w:color="auto" w:fill="auto"/>
            <w:noWrap/>
            <w:vAlign w:val="bottom"/>
          </w:tcPr>
          <w:p w14:paraId="7D15B35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中黄绿色</w:t>
            </w:r>
          </w:p>
        </w:tc>
      </w:tr>
      <w:tr w14:paraId="4BACB588">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39F40D1C">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5</w:t>
            </w:r>
          </w:p>
        </w:tc>
        <w:tc>
          <w:tcPr>
            <w:tcW w:w="2386" w:type="dxa"/>
            <w:tcBorders>
              <w:top w:val="nil"/>
              <w:left w:val="nil"/>
              <w:bottom w:val="single" w:color="auto" w:sz="4" w:space="0"/>
              <w:right w:val="single" w:color="auto" w:sz="4" w:space="0"/>
            </w:tcBorders>
            <w:shd w:val="clear" w:color="auto" w:fill="auto"/>
            <w:noWrap/>
            <w:vAlign w:val="bottom"/>
          </w:tcPr>
          <w:p w14:paraId="62A7CD07">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10 BG 6/4</w:t>
            </w:r>
          </w:p>
        </w:tc>
        <w:tc>
          <w:tcPr>
            <w:tcW w:w="2552" w:type="dxa"/>
            <w:tcBorders>
              <w:top w:val="nil"/>
              <w:left w:val="nil"/>
              <w:bottom w:val="single" w:color="auto" w:sz="4" w:space="0"/>
              <w:right w:val="single" w:color="auto" w:sz="8" w:space="0"/>
            </w:tcBorders>
            <w:shd w:val="clear" w:color="auto" w:fill="auto"/>
            <w:noWrap/>
            <w:vAlign w:val="bottom"/>
          </w:tcPr>
          <w:p w14:paraId="5A7167EC">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浅蓝绿色</w:t>
            </w:r>
          </w:p>
        </w:tc>
      </w:tr>
      <w:tr w14:paraId="4E830611">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3BBCF25B">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6</w:t>
            </w:r>
          </w:p>
        </w:tc>
        <w:tc>
          <w:tcPr>
            <w:tcW w:w="2386" w:type="dxa"/>
            <w:tcBorders>
              <w:top w:val="nil"/>
              <w:left w:val="nil"/>
              <w:bottom w:val="single" w:color="auto" w:sz="4" w:space="0"/>
              <w:right w:val="single" w:color="auto" w:sz="4" w:space="0"/>
            </w:tcBorders>
            <w:shd w:val="clear" w:color="auto" w:fill="auto"/>
            <w:noWrap/>
            <w:vAlign w:val="bottom"/>
          </w:tcPr>
          <w:p w14:paraId="5AAA5FA1">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5 PB 6/8</w:t>
            </w:r>
          </w:p>
        </w:tc>
        <w:tc>
          <w:tcPr>
            <w:tcW w:w="2552" w:type="dxa"/>
            <w:tcBorders>
              <w:top w:val="nil"/>
              <w:left w:val="nil"/>
              <w:bottom w:val="single" w:color="auto" w:sz="4" w:space="0"/>
              <w:right w:val="single" w:color="auto" w:sz="8" w:space="0"/>
            </w:tcBorders>
            <w:shd w:val="clear" w:color="auto" w:fill="auto"/>
            <w:noWrap/>
            <w:vAlign w:val="bottom"/>
          </w:tcPr>
          <w:p w14:paraId="552383C5">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浅蓝色</w:t>
            </w:r>
          </w:p>
        </w:tc>
      </w:tr>
      <w:tr w14:paraId="14B325BA">
        <w:tblPrEx>
          <w:tblCellMar>
            <w:top w:w="0" w:type="dxa"/>
            <w:left w:w="108" w:type="dxa"/>
            <w:bottom w:w="0" w:type="dxa"/>
            <w:right w:w="108" w:type="dxa"/>
          </w:tblCellMar>
        </w:tblPrEx>
        <w:trPr>
          <w:trHeight w:val="285"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138C8A6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7</w:t>
            </w:r>
          </w:p>
        </w:tc>
        <w:tc>
          <w:tcPr>
            <w:tcW w:w="2386" w:type="dxa"/>
            <w:tcBorders>
              <w:top w:val="nil"/>
              <w:left w:val="nil"/>
              <w:bottom w:val="single" w:color="auto" w:sz="4" w:space="0"/>
              <w:right w:val="single" w:color="auto" w:sz="4" w:space="0"/>
            </w:tcBorders>
            <w:shd w:val="clear" w:color="auto" w:fill="auto"/>
            <w:noWrap/>
            <w:vAlign w:val="bottom"/>
          </w:tcPr>
          <w:p w14:paraId="11A73FAF">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2.5 PB 6/8</w:t>
            </w:r>
          </w:p>
        </w:tc>
        <w:tc>
          <w:tcPr>
            <w:tcW w:w="2552" w:type="dxa"/>
            <w:tcBorders>
              <w:top w:val="nil"/>
              <w:left w:val="nil"/>
              <w:bottom w:val="single" w:color="auto" w:sz="4" w:space="0"/>
              <w:right w:val="single" w:color="auto" w:sz="8" w:space="0"/>
            </w:tcBorders>
            <w:shd w:val="clear" w:color="auto" w:fill="auto"/>
            <w:noWrap/>
            <w:vAlign w:val="bottom"/>
          </w:tcPr>
          <w:p w14:paraId="5842C602">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浅紫罗兰色</w:t>
            </w:r>
          </w:p>
        </w:tc>
      </w:tr>
      <w:tr w14:paraId="744F1793">
        <w:tblPrEx>
          <w:tblCellMar>
            <w:top w:w="0" w:type="dxa"/>
            <w:left w:w="108" w:type="dxa"/>
            <w:bottom w:w="0" w:type="dxa"/>
            <w:right w:w="108" w:type="dxa"/>
          </w:tblCellMar>
        </w:tblPrEx>
        <w:trPr>
          <w:trHeight w:val="323"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37BB12BC">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8</w:t>
            </w:r>
          </w:p>
        </w:tc>
        <w:tc>
          <w:tcPr>
            <w:tcW w:w="2386" w:type="dxa"/>
            <w:tcBorders>
              <w:top w:val="nil"/>
              <w:left w:val="nil"/>
              <w:bottom w:val="single" w:color="auto" w:sz="4" w:space="0"/>
              <w:right w:val="single" w:color="auto" w:sz="4" w:space="0"/>
            </w:tcBorders>
            <w:shd w:val="clear" w:color="auto" w:fill="auto"/>
            <w:noWrap/>
            <w:vAlign w:val="bottom"/>
          </w:tcPr>
          <w:p w14:paraId="1ECA78B0">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10 P 6/8</w:t>
            </w:r>
          </w:p>
        </w:tc>
        <w:tc>
          <w:tcPr>
            <w:tcW w:w="2552" w:type="dxa"/>
            <w:tcBorders>
              <w:top w:val="nil"/>
              <w:left w:val="nil"/>
              <w:bottom w:val="single" w:color="auto" w:sz="4" w:space="0"/>
              <w:right w:val="single" w:color="auto" w:sz="8" w:space="0"/>
            </w:tcBorders>
            <w:shd w:val="clear" w:color="auto" w:fill="auto"/>
            <w:noWrap/>
            <w:vAlign w:val="bottom"/>
          </w:tcPr>
          <w:p w14:paraId="5884A8D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浅红紫色</w:t>
            </w:r>
          </w:p>
        </w:tc>
      </w:tr>
      <w:tr w14:paraId="7ACE0535">
        <w:tblPrEx>
          <w:tblCellMar>
            <w:top w:w="0" w:type="dxa"/>
            <w:left w:w="108" w:type="dxa"/>
            <w:bottom w:w="0" w:type="dxa"/>
            <w:right w:w="108" w:type="dxa"/>
          </w:tblCellMar>
        </w:tblPrEx>
        <w:trPr>
          <w:trHeight w:val="323"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194854D2">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9</w:t>
            </w:r>
          </w:p>
        </w:tc>
        <w:tc>
          <w:tcPr>
            <w:tcW w:w="2386" w:type="dxa"/>
            <w:tcBorders>
              <w:top w:val="nil"/>
              <w:left w:val="nil"/>
              <w:bottom w:val="single" w:color="auto" w:sz="4" w:space="0"/>
              <w:right w:val="single" w:color="auto" w:sz="4" w:space="0"/>
            </w:tcBorders>
            <w:shd w:val="clear" w:color="auto" w:fill="auto"/>
            <w:noWrap/>
            <w:vAlign w:val="bottom"/>
          </w:tcPr>
          <w:p w14:paraId="06EABDDB">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4.5 R 4/13</w:t>
            </w:r>
          </w:p>
        </w:tc>
        <w:tc>
          <w:tcPr>
            <w:tcW w:w="2552" w:type="dxa"/>
            <w:tcBorders>
              <w:top w:val="nil"/>
              <w:left w:val="nil"/>
              <w:bottom w:val="single" w:color="auto" w:sz="4" w:space="0"/>
              <w:right w:val="single" w:color="auto" w:sz="8" w:space="0"/>
            </w:tcBorders>
            <w:shd w:val="clear" w:color="auto" w:fill="auto"/>
            <w:noWrap/>
            <w:vAlign w:val="bottom"/>
          </w:tcPr>
          <w:p w14:paraId="76822B8F">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探红色</w:t>
            </w:r>
          </w:p>
        </w:tc>
      </w:tr>
      <w:tr w14:paraId="5D314984">
        <w:tblPrEx>
          <w:tblCellMar>
            <w:top w:w="0" w:type="dxa"/>
            <w:left w:w="108" w:type="dxa"/>
            <w:bottom w:w="0" w:type="dxa"/>
            <w:right w:w="108" w:type="dxa"/>
          </w:tblCellMar>
        </w:tblPrEx>
        <w:trPr>
          <w:trHeight w:val="323"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4CAAB09F">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10</w:t>
            </w:r>
          </w:p>
        </w:tc>
        <w:tc>
          <w:tcPr>
            <w:tcW w:w="2386" w:type="dxa"/>
            <w:tcBorders>
              <w:top w:val="nil"/>
              <w:left w:val="nil"/>
              <w:bottom w:val="single" w:color="auto" w:sz="4" w:space="0"/>
              <w:right w:val="single" w:color="auto" w:sz="4" w:space="0"/>
            </w:tcBorders>
            <w:shd w:val="clear" w:color="auto" w:fill="auto"/>
            <w:noWrap/>
            <w:vAlign w:val="bottom"/>
          </w:tcPr>
          <w:p w14:paraId="4B46B308">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5 Y 8/10</w:t>
            </w:r>
          </w:p>
        </w:tc>
        <w:tc>
          <w:tcPr>
            <w:tcW w:w="2552" w:type="dxa"/>
            <w:tcBorders>
              <w:top w:val="nil"/>
              <w:left w:val="nil"/>
              <w:bottom w:val="single" w:color="auto" w:sz="4" w:space="0"/>
              <w:right w:val="single" w:color="auto" w:sz="8" w:space="0"/>
            </w:tcBorders>
            <w:shd w:val="clear" w:color="auto" w:fill="auto"/>
            <w:noWrap/>
            <w:vAlign w:val="bottom"/>
          </w:tcPr>
          <w:p w14:paraId="724F09A1">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深黄色</w:t>
            </w:r>
          </w:p>
        </w:tc>
      </w:tr>
      <w:tr w14:paraId="034288AB">
        <w:tblPrEx>
          <w:tblCellMar>
            <w:top w:w="0" w:type="dxa"/>
            <w:left w:w="108" w:type="dxa"/>
            <w:bottom w:w="0" w:type="dxa"/>
            <w:right w:w="108" w:type="dxa"/>
          </w:tblCellMar>
        </w:tblPrEx>
        <w:trPr>
          <w:trHeight w:val="323"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46DE39A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11</w:t>
            </w:r>
          </w:p>
        </w:tc>
        <w:tc>
          <w:tcPr>
            <w:tcW w:w="2386" w:type="dxa"/>
            <w:tcBorders>
              <w:top w:val="nil"/>
              <w:left w:val="nil"/>
              <w:bottom w:val="single" w:color="auto" w:sz="4" w:space="0"/>
              <w:right w:val="single" w:color="auto" w:sz="4" w:space="0"/>
            </w:tcBorders>
            <w:shd w:val="clear" w:color="auto" w:fill="auto"/>
            <w:noWrap/>
            <w:vAlign w:val="bottom"/>
          </w:tcPr>
          <w:p w14:paraId="56576AD4">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4.5 G 5/8</w:t>
            </w:r>
          </w:p>
        </w:tc>
        <w:tc>
          <w:tcPr>
            <w:tcW w:w="2552" w:type="dxa"/>
            <w:tcBorders>
              <w:top w:val="nil"/>
              <w:left w:val="nil"/>
              <w:bottom w:val="single" w:color="auto" w:sz="4" w:space="0"/>
              <w:right w:val="single" w:color="auto" w:sz="8" w:space="0"/>
            </w:tcBorders>
            <w:shd w:val="clear" w:color="auto" w:fill="auto"/>
            <w:noWrap/>
            <w:vAlign w:val="bottom"/>
          </w:tcPr>
          <w:p w14:paraId="72AA1DB4">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深绿色</w:t>
            </w:r>
          </w:p>
        </w:tc>
      </w:tr>
      <w:tr w14:paraId="0782B1FB">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2A81A86B">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12</w:t>
            </w:r>
          </w:p>
        </w:tc>
        <w:tc>
          <w:tcPr>
            <w:tcW w:w="2386" w:type="dxa"/>
            <w:tcBorders>
              <w:top w:val="nil"/>
              <w:left w:val="nil"/>
              <w:bottom w:val="single" w:color="auto" w:sz="4" w:space="0"/>
              <w:right w:val="single" w:color="auto" w:sz="4" w:space="0"/>
            </w:tcBorders>
            <w:shd w:val="clear" w:color="auto" w:fill="auto"/>
            <w:noWrap/>
            <w:vAlign w:val="bottom"/>
          </w:tcPr>
          <w:p w14:paraId="4B26CF5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3 PB 3/11</w:t>
            </w:r>
          </w:p>
        </w:tc>
        <w:tc>
          <w:tcPr>
            <w:tcW w:w="2552" w:type="dxa"/>
            <w:tcBorders>
              <w:top w:val="nil"/>
              <w:left w:val="nil"/>
              <w:bottom w:val="single" w:color="auto" w:sz="4" w:space="0"/>
              <w:right w:val="single" w:color="auto" w:sz="8" w:space="0"/>
            </w:tcBorders>
            <w:shd w:val="clear" w:color="auto" w:fill="auto"/>
            <w:noWrap/>
            <w:vAlign w:val="bottom"/>
          </w:tcPr>
          <w:p w14:paraId="2AEDFFFF">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深蓝色</w:t>
            </w:r>
          </w:p>
        </w:tc>
      </w:tr>
      <w:tr w14:paraId="6FEE17EB">
        <w:tblPrEx>
          <w:tblCellMar>
            <w:top w:w="0" w:type="dxa"/>
            <w:left w:w="108" w:type="dxa"/>
            <w:bottom w:w="0" w:type="dxa"/>
            <w:right w:w="108" w:type="dxa"/>
          </w:tblCellMar>
        </w:tblPrEx>
        <w:trPr>
          <w:trHeight w:val="278" w:hRule="atLeast"/>
          <w:jc w:val="center"/>
        </w:trPr>
        <w:tc>
          <w:tcPr>
            <w:tcW w:w="2140" w:type="dxa"/>
            <w:tcBorders>
              <w:top w:val="nil"/>
              <w:left w:val="single" w:color="auto" w:sz="8" w:space="0"/>
              <w:bottom w:val="single" w:color="auto" w:sz="4" w:space="0"/>
              <w:right w:val="single" w:color="auto" w:sz="4" w:space="0"/>
            </w:tcBorders>
            <w:shd w:val="clear" w:color="auto" w:fill="auto"/>
            <w:noWrap/>
            <w:vAlign w:val="bottom"/>
          </w:tcPr>
          <w:p w14:paraId="3BF2A394">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13</w:t>
            </w:r>
          </w:p>
        </w:tc>
        <w:tc>
          <w:tcPr>
            <w:tcW w:w="2386" w:type="dxa"/>
            <w:tcBorders>
              <w:top w:val="nil"/>
              <w:left w:val="nil"/>
              <w:bottom w:val="single" w:color="auto" w:sz="4" w:space="0"/>
              <w:right w:val="single" w:color="auto" w:sz="4" w:space="0"/>
            </w:tcBorders>
            <w:shd w:val="clear" w:color="auto" w:fill="auto"/>
            <w:noWrap/>
            <w:vAlign w:val="bottom"/>
          </w:tcPr>
          <w:p w14:paraId="667A43D9">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5 YR 8/4</w:t>
            </w:r>
          </w:p>
        </w:tc>
        <w:tc>
          <w:tcPr>
            <w:tcW w:w="2552" w:type="dxa"/>
            <w:tcBorders>
              <w:top w:val="nil"/>
              <w:left w:val="nil"/>
              <w:bottom w:val="single" w:color="auto" w:sz="4" w:space="0"/>
              <w:right w:val="single" w:color="auto" w:sz="8" w:space="0"/>
            </w:tcBorders>
            <w:shd w:val="clear" w:color="auto" w:fill="auto"/>
            <w:noWrap/>
            <w:vAlign w:val="bottom"/>
          </w:tcPr>
          <w:p w14:paraId="7B89C8ED">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浅黄粉色(人的肤色)</w:t>
            </w:r>
          </w:p>
        </w:tc>
      </w:tr>
      <w:tr w14:paraId="24675A71">
        <w:tblPrEx>
          <w:tblCellMar>
            <w:top w:w="0" w:type="dxa"/>
            <w:left w:w="108" w:type="dxa"/>
            <w:bottom w:w="0" w:type="dxa"/>
            <w:right w:w="108" w:type="dxa"/>
          </w:tblCellMar>
        </w:tblPrEx>
        <w:trPr>
          <w:trHeight w:val="285" w:hRule="atLeast"/>
          <w:jc w:val="center"/>
        </w:trPr>
        <w:tc>
          <w:tcPr>
            <w:tcW w:w="2140" w:type="dxa"/>
            <w:tcBorders>
              <w:top w:val="nil"/>
              <w:left w:val="single" w:color="auto" w:sz="8" w:space="0"/>
              <w:bottom w:val="single" w:color="auto" w:sz="8" w:space="0"/>
              <w:right w:val="single" w:color="auto" w:sz="4" w:space="0"/>
            </w:tcBorders>
            <w:shd w:val="clear" w:color="auto" w:fill="auto"/>
            <w:noWrap/>
            <w:vAlign w:val="bottom"/>
          </w:tcPr>
          <w:p w14:paraId="1C187AE6">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14</w:t>
            </w:r>
          </w:p>
        </w:tc>
        <w:tc>
          <w:tcPr>
            <w:tcW w:w="2386" w:type="dxa"/>
            <w:tcBorders>
              <w:top w:val="nil"/>
              <w:left w:val="nil"/>
              <w:bottom w:val="single" w:color="auto" w:sz="8" w:space="0"/>
              <w:right w:val="single" w:color="auto" w:sz="4" w:space="0"/>
            </w:tcBorders>
            <w:shd w:val="clear" w:color="auto" w:fill="auto"/>
            <w:noWrap/>
            <w:vAlign w:val="bottom"/>
          </w:tcPr>
          <w:p w14:paraId="722F8C03">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5 GY 4/4</w:t>
            </w:r>
          </w:p>
        </w:tc>
        <w:tc>
          <w:tcPr>
            <w:tcW w:w="2552" w:type="dxa"/>
            <w:tcBorders>
              <w:top w:val="nil"/>
              <w:left w:val="nil"/>
              <w:bottom w:val="single" w:color="auto" w:sz="8" w:space="0"/>
              <w:right w:val="single" w:color="auto" w:sz="8" w:space="0"/>
            </w:tcBorders>
            <w:shd w:val="clear" w:color="auto" w:fill="auto"/>
            <w:noWrap/>
            <w:vAlign w:val="bottom"/>
          </w:tcPr>
          <w:p w14:paraId="251B53B7">
            <w:pPr>
              <w:widowControl/>
              <w:jc w:val="center"/>
              <w:rPr>
                <w:rFonts w:eastAsiaTheme="majorEastAsia"/>
                <w:color w:val="000000"/>
                <w:kern w:val="0"/>
                <w:sz w:val="22"/>
                <w:szCs w:val="22"/>
                <w:highlight w:val="none"/>
              </w:rPr>
            </w:pPr>
            <w:r>
              <w:rPr>
                <w:rFonts w:eastAsiaTheme="majorEastAsia"/>
                <w:color w:val="000000"/>
                <w:kern w:val="0"/>
                <w:sz w:val="22"/>
                <w:szCs w:val="22"/>
                <w:highlight w:val="none"/>
              </w:rPr>
              <w:t>中橄榄绿色(叶子颜色)</w:t>
            </w:r>
          </w:p>
        </w:tc>
      </w:tr>
    </w:tbl>
    <w:p w14:paraId="40DDB893">
      <w:pPr>
        <w:rPr>
          <w:highlight w:val="none"/>
        </w:rPr>
      </w:pPr>
      <w:r>
        <w:rPr>
          <w:highlight w:val="none"/>
        </w:rPr>
        <w:t>D</w:t>
      </w:r>
      <w:r>
        <w:rPr>
          <w:rFonts w:hint="eastAsia"/>
          <w:highlight w:val="none"/>
        </w:rPr>
        <w:t>3</w:t>
      </w:r>
      <w:r>
        <w:rPr>
          <w:highlight w:val="none"/>
        </w:rPr>
        <w:t xml:space="preserve"> </w:t>
      </w:r>
      <w:r>
        <w:rPr>
          <w:rFonts w:hint="eastAsia"/>
          <w:highlight w:val="none"/>
        </w:rPr>
        <w:t>试验色样的CIE 1931三刺激值</w:t>
      </w:r>
    </w:p>
    <w:p w14:paraId="4EE32E84">
      <w:pPr>
        <w:ind w:firstLine="480" w:firstLineChars="200"/>
        <w:rPr>
          <w:highlight w:val="none"/>
        </w:rPr>
      </w:pPr>
      <w:r>
        <w:rPr>
          <w:rFonts w:hint="eastAsia"/>
          <w:highlight w:val="none"/>
        </w:rPr>
        <w:t>根据待测灯的相对光谱密集度和试验色样的光谱辐亮度系数值，分别计算试验色样在参比施照体和待测灯照明下的CIE 1931 (</w:t>
      </w:r>
      <w:r>
        <w:rPr>
          <w:i/>
          <w:iCs/>
          <w:highlight w:val="none"/>
        </w:rPr>
        <w:t xml:space="preserve">X, Y, Z, </w:t>
      </w:r>
      <w:r>
        <w:rPr>
          <w:rFonts w:hint="eastAsia"/>
          <w:i/>
          <w:iCs/>
          <w:highlight w:val="none"/>
        </w:rPr>
        <w:t>x</w:t>
      </w:r>
      <w:r>
        <w:rPr>
          <w:i/>
          <w:iCs/>
          <w:highlight w:val="none"/>
        </w:rPr>
        <w:t xml:space="preserve">, </w:t>
      </w:r>
      <w:r>
        <w:rPr>
          <w:rFonts w:hint="eastAsia"/>
          <w:i/>
          <w:iCs/>
          <w:highlight w:val="none"/>
        </w:rPr>
        <w:t>y</w:t>
      </w:r>
      <w:r>
        <w:rPr>
          <w:highlight w:val="none"/>
        </w:rPr>
        <w:t>)</w:t>
      </w:r>
      <w:r>
        <w:rPr>
          <w:rFonts w:hint="eastAsia"/>
          <w:highlight w:val="none"/>
        </w:rPr>
        <w:t>三刺激值和色品坐标值。三刺激值计算采用等波长间隔法，波长间隔一般采用5 nm，并由色品坐标</w:t>
      </w:r>
      <w:r>
        <w:rPr>
          <w:rFonts w:hint="eastAsia"/>
          <w:i/>
          <w:iCs/>
          <w:highlight w:val="none"/>
        </w:rPr>
        <w:t>x</w:t>
      </w:r>
      <w:r>
        <w:rPr>
          <w:i/>
          <w:iCs/>
          <w:highlight w:val="none"/>
        </w:rPr>
        <w:t xml:space="preserve">, </w:t>
      </w:r>
      <w:r>
        <w:rPr>
          <w:rFonts w:hint="eastAsia"/>
          <w:i/>
          <w:iCs/>
          <w:highlight w:val="none"/>
        </w:rPr>
        <w:t>y</w:t>
      </w:r>
      <w:r>
        <w:rPr>
          <w:rFonts w:hint="eastAsia"/>
          <w:highlight w:val="none"/>
        </w:rPr>
        <w:t>转换为1</w:t>
      </w:r>
      <w:r>
        <w:rPr>
          <w:highlight w:val="none"/>
        </w:rPr>
        <w:t xml:space="preserve">960 </w:t>
      </w:r>
      <w:r>
        <w:rPr>
          <w:rFonts w:hint="eastAsia"/>
          <w:highlight w:val="none"/>
        </w:rPr>
        <w:t>UCS色品坐标</w:t>
      </w:r>
      <w:r>
        <w:rPr>
          <w:rFonts w:hint="eastAsia"/>
          <w:i/>
          <w:iCs/>
          <w:highlight w:val="none"/>
        </w:rPr>
        <w:t>u</w:t>
      </w:r>
      <w:r>
        <w:rPr>
          <w:rFonts w:hint="eastAsia"/>
          <w:highlight w:val="none"/>
        </w:rPr>
        <w:t>,</w:t>
      </w:r>
      <w:r>
        <w:rPr>
          <w:highlight w:val="none"/>
        </w:rPr>
        <w:t xml:space="preserve"> </w:t>
      </w:r>
      <w:r>
        <w:rPr>
          <w:rFonts w:hint="eastAsia"/>
          <w:i/>
          <w:iCs/>
          <w:highlight w:val="none"/>
        </w:rPr>
        <w:t>v</w:t>
      </w:r>
      <w:r>
        <w:rPr>
          <w:rFonts w:hint="eastAsia"/>
          <w:highlight w:val="none"/>
        </w:rPr>
        <w:t>。</w:t>
      </w:r>
    </w:p>
    <w:p w14:paraId="2BBE52ED">
      <w:pPr>
        <w:rPr>
          <w:highlight w:val="none"/>
        </w:rPr>
      </w:pPr>
      <w:r>
        <w:rPr>
          <w:highlight w:val="none"/>
        </w:rPr>
        <w:t>D</w:t>
      </w:r>
      <w:r>
        <w:rPr>
          <w:rFonts w:hint="eastAsia"/>
          <w:highlight w:val="none"/>
        </w:rPr>
        <w:t>4</w:t>
      </w:r>
      <w:r>
        <w:rPr>
          <w:highlight w:val="none"/>
        </w:rPr>
        <w:t xml:space="preserve"> </w:t>
      </w:r>
      <w:r>
        <w:rPr>
          <w:rFonts w:ascii="宋体" w:hAnsi="宋体" w:eastAsia="宋体"/>
          <w:color w:val="000000"/>
          <w:highlight w:val="none"/>
        </w:rPr>
        <w:t>适应性感知色位移</w:t>
      </w:r>
      <w:r>
        <w:rPr>
          <w:rFonts w:hint="eastAsia"/>
          <w:highlight w:val="none"/>
        </w:rPr>
        <w:t>修正</w:t>
      </w:r>
    </w:p>
    <w:p w14:paraId="580B42A6">
      <w:pPr>
        <w:ind w:firstLine="480" w:firstLineChars="200"/>
        <w:rPr>
          <w:highlight w:val="none"/>
        </w:rPr>
      </w:pPr>
      <w:r>
        <w:rPr>
          <w:rFonts w:hint="eastAsia"/>
          <w:highlight w:val="none"/>
        </w:rPr>
        <w:t>由于在被测灯k和参比施照体r下的色适应的状态不同，采用下式做</w:t>
      </w:r>
      <w:r>
        <w:rPr>
          <w:rFonts w:ascii="宋体" w:hAnsi="宋体" w:eastAsia="宋体"/>
          <w:color w:val="000000"/>
          <w:highlight w:val="none"/>
        </w:rPr>
        <w:t>适应性感知色位移</w:t>
      </w:r>
      <w:r>
        <w:rPr>
          <w:rFonts w:hint="eastAsia"/>
          <w:highlight w:val="none"/>
        </w:rPr>
        <w:t>的修正：</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089"/>
        <w:gridCol w:w="4164"/>
        <w:gridCol w:w="1969"/>
      </w:tblGrid>
      <w:tr w14:paraId="7A2D4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089" w:type="dxa"/>
            <w:vAlign w:val="center"/>
          </w:tcPr>
          <w:p w14:paraId="46018C01">
            <w:pPr>
              <w:jc w:val="left"/>
              <w:rPr>
                <w:highlight w:val="none"/>
              </w:rPr>
            </w:pPr>
          </w:p>
        </w:tc>
        <w:tc>
          <w:tcPr>
            <w:tcW w:w="4164" w:type="dxa"/>
            <w:vAlign w:val="center"/>
          </w:tcPr>
          <w:p w14:paraId="4464C99F">
            <w:pPr>
              <w:ind w:leftChars="-2" w:right="-250" w:rightChars="-104" w:hanging="4" w:hangingChars="2"/>
              <w:jc w:val="center"/>
              <w:rPr>
                <w:highlight w:val="none"/>
              </w:rPr>
            </w:pPr>
            <m:oMathPara>
              <m:oMath>
                <m:m>
                  <m:mPr>
                    <m:mcs>
                      <m:mc>
                        <m:mcPr>
                          <m:count m:val="1"/>
                          <m:mcJc m:val="center"/>
                        </m:mcPr>
                      </m:mc>
                    </m:mcs>
                    <m:ctrlPr>
                      <w:rPr>
                        <w:rFonts w:ascii="Cambria Math" w:hAnsi="Cambria Math"/>
                        <w:highlight w:val="none"/>
                      </w:rPr>
                    </m:ctrlPr>
                  </m:mPr>
                  <m:mr>
                    <m:e>
                      <m:sSubSup>
                        <m:sSubSupPr>
                          <m:ctrlPr>
                            <w:rPr>
                              <w:rFonts w:ascii="Cambria Math" w:hAnsi="Cambria Math"/>
                              <w:highlight w:val="none"/>
                            </w:rPr>
                          </m:ctrlPr>
                        </m:sSubSupPr>
                        <m:e>
                          <m:r>
                            <m:rPr/>
                            <w:rPr>
                              <w:rFonts w:ascii="Cambria Math" w:hAnsi="Cambria Math"/>
                              <w:highlight w:val="none"/>
                            </w:rPr>
                            <m:t>u</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up>
                          <m:r>
                            <m:rPr>
                              <m:sty m:val="p"/>
                            </m:rPr>
                            <w:rPr>
                              <w:rFonts w:ascii="Cambria Math" w:hAnsi="Cambria Math"/>
                              <w:highlight w:val="none"/>
                            </w:rPr>
                            <m:t>'</m:t>
                          </m:r>
                          <m:ctrlPr>
                            <w:rPr>
                              <w:rFonts w:ascii="Cambria Math" w:hAnsi="Cambria Math"/>
                              <w:highlight w:val="none"/>
                            </w:rPr>
                          </m:ctrlPr>
                        </m:sup>
                      </m:sSubSup>
                      <m:r>
                        <m:rPr/>
                        <w:rPr>
                          <w:rFonts w:ascii="Cambria Math" w:hAnsi="Cambria Math"/>
                          <w:highlight w:val="none"/>
                        </w:rPr>
                        <m:t>=</m:t>
                      </m:r>
                      <m:f>
                        <m:fPr>
                          <m:ctrlPr>
                            <w:rPr>
                              <w:rFonts w:ascii="Cambria Math" w:hAnsi="Cambria Math"/>
                              <w:highlight w:val="none"/>
                            </w:rPr>
                          </m:ctrlPr>
                        </m:fPr>
                        <m:num>
                          <m:r>
                            <m:rPr/>
                            <w:rPr>
                              <w:rFonts w:ascii="Cambria Math" w:hAnsi="Cambria Math"/>
                              <w:highlight w:val="none"/>
                            </w:rPr>
                            <m:t>10.872+0.404</m:t>
                          </m:r>
                          <m:f>
                            <m:fPr>
                              <m:ctrlPr>
                                <w:rPr>
                                  <w:rFonts w:ascii="Cambria Math" w:hAnsi="Cambria Math"/>
                                  <w:highlight w:val="none"/>
                                </w:rPr>
                              </m:ctrlPr>
                            </m:fPr>
                            <m:num>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r</m:t>
                                  </m:r>
                                  <m:ctrlPr>
                                    <w:rPr>
                                      <w:rFonts w:ascii="Cambria Math" w:hAnsi="Cambria Math"/>
                                      <w:highlight w:val="none"/>
                                    </w:rPr>
                                  </m:ctrlPr>
                                </m:sub>
                              </m:sSub>
                              <m:ctrlPr>
                                <w:rPr>
                                  <w:rFonts w:ascii="Cambria Math" w:hAnsi="Cambria Math"/>
                                  <w:highlight w:val="none"/>
                                </w:rPr>
                              </m:ctrlPr>
                            </m:num>
                            <m:den>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k</m:t>
                                  </m:r>
                                  <m:ctrlPr>
                                    <w:rPr>
                                      <w:rFonts w:ascii="Cambria Math" w:hAnsi="Cambria Math"/>
                                      <w:highlight w:val="none"/>
                                    </w:rPr>
                                  </m:ctrlPr>
                                </m:sub>
                              </m:sSub>
                              <m:ctrlPr>
                                <w:rPr>
                                  <w:rFonts w:ascii="Cambria Math" w:hAnsi="Cambria Math"/>
                                  <w:highlight w:val="none"/>
                                </w:rPr>
                              </m:ctrlPr>
                            </m:den>
                          </m:f>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−4</m:t>
                          </m:r>
                          <m:f>
                            <m:fPr>
                              <m:ctrlPr>
                                <w:rPr>
                                  <w:rFonts w:ascii="Cambria Math" w:hAnsi="Cambria Math"/>
                                  <w:highlight w:val="none"/>
                                </w:rPr>
                              </m:ctrlPr>
                            </m:fPr>
                            <m:num>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r</m:t>
                                  </m:r>
                                  <m:ctrlPr>
                                    <w:rPr>
                                      <w:rFonts w:ascii="Cambria Math" w:hAnsi="Cambria Math"/>
                                      <w:highlight w:val="none"/>
                                    </w:rPr>
                                  </m:ctrlPr>
                                </m:sub>
                              </m:sSub>
                              <m:ctrlPr>
                                <w:rPr>
                                  <w:rFonts w:ascii="Cambria Math" w:hAnsi="Cambria Math"/>
                                  <w:highlight w:val="none"/>
                                </w:rPr>
                              </m:ctrlPr>
                            </m:num>
                            <m:den>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k</m:t>
                                  </m:r>
                                  <m:ctrlPr>
                                    <w:rPr>
                                      <w:rFonts w:ascii="Cambria Math" w:hAnsi="Cambria Math"/>
                                      <w:highlight w:val="none"/>
                                    </w:rPr>
                                  </m:ctrlPr>
                                </m:sub>
                              </m:sSub>
                              <m:ctrlPr>
                                <w:rPr>
                                  <w:rFonts w:ascii="Cambria Math" w:hAnsi="Cambria Math"/>
                                  <w:highlight w:val="none"/>
                                </w:rPr>
                              </m:ctrlPr>
                            </m:den>
                          </m:f>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Sub>
                          <m:ctrlPr>
                            <w:rPr>
                              <w:rFonts w:ascii="Cambria Math" w:hAnsi="Cambria Math"/>
                              <w:highlight w:val="none"/>
                            </w:rPr>
                          </m:ctrlPr>
                        </m:num>
                        <m:den>
                          <m:r>
                            <m:rPr/>
                            <w:rPr>
                              <w:rFonts w:ascii="Cambria Math" w:hAnsi="Cambria Math"/>
                              <w:highlight w:val="none"/>
                            </w:rPr>
                            <m:t>16.518+1.481</m:t>
                          </m:r>
                          <m:f>
                            <m:fPr>
                              <m:ctrlPr>
                                <w:rPr>
                                  <w:rFonts w:ascii="Cambria Math" w:hAnsi="Cambria Math"/>
                                  <w:highlight w:val="none"/>
                                </w:rPr>
                              </m:ctrlPr>
                            </m:fPr>
                            <m:num>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r</m:t>
                                  </m:r>
                                  <m:ctrlPr>
                                    <w:rPr>
                                      <w:rFonts w:ascii="Cambria Math" w:hAnsi="Cambria Math"/>
                                      <w:highlight w:val="none"/>
                                    </w:rPr>
                                  </m:ctrlPr>
                                </m:sub>
                              </m:sSub>
                              <m:ctrlPr>
                                <w:rPr>
                                  <w:rFonts w:ascii="Cambria Math" w:hAnsi="Cambria Math"/>
                                  <w:highlight w:val="none"/>
                                </w:rPr>
                              </m:ctrlPr>
                            </m:num>
                            <m:den>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k</m:t>
                                  </m:r>
                                  <m:ctrlPr>
                                    <w:rPr>
                                      <w:rFonts w:ascii="Cambria Math" w:hAnsi="Cambria Math"/>
                                      <w:highlight w:val="none"/>
                                    </w:rPr>
                                  </m:ctrlPr>
                                </m:sub>
                              </m:sSub>
                              <m:ctrlPr>
                                <w:rPr>
                                  <w:rFonts w:ascii="Cambria Math" w:hAnsi="Cambria Math"/>
                                  <w:highlight w:val="none"/>
                                </w:rPr>
                              </m:ctrlPr>
                            </m:den>
                          </m:f>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f>
                            <m:fPr>
                              <m:ctrlPr>
                                <w:rPr>
                                  <w:rFonts w:ascii="Cambria Math" w:hAnsi="Cambria Math"/>
                                  <w:highlight w:val="none"/>
                                </w:rPr>
                              </m:ctrlPr>
                            </m:fPr>
                            <m:num>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r</m:t>
                                  </m:r>
                                  <m:ctrlPr>
                                    <w:rPr>
                                      <w:rFonts w:ascii="Cambria Math" w:hAnsi="Cambria Math"/>
                                      <w:highlight w:val="none"/>
                                    </w:rPr>
                                  </m:ctrlPr>
                                </m:sub>
                              </m:sSub>
                              <m:ctrlPr>
                                <w:rPr>
                                  <w:rFonts w:ascii="Cambria Math" w:hAnsi="Cambria Math"/>
                                  <w:highlight w:val="none"/>
                                </w:rPr>
                              </m:ctrlPr>
                            </m:num>
                            <m:den>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k</m:t>
                                  </m:r>
                                  <m:ctrlPr>
                                    <w:rPr>
                                      <w:rFonts w:ascii="Cambria Math" w:hAnsi="Cambria Math"/>
                                      <w:highlight w:val="none"/>
                                    </w:rPr>
                                  </m:ctrlPr>
                                </m:sub>
                              </m:sSub>
                              <m:ctrlPr>
                                <w:rPr>
                                  <w:rFonts w:ascii="Cambria Math" w:hAnsi="Cambria Math"/>
                                  <w:highlight w:val="none"/>
                                </w:rPr>
                              </m:ctrlPr>
                            </m:den>
                          </m:f>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Sub>
                          <m:ctrlPr>
                            <w:rPr>
                              <w:rFonts w:ascii="Cambria Math" w:hAnsi="Cambria Math"/>
                              <w:highlight w:val="none"/>
                            </w:rPr>
                          </m:ctrlPr>
                        </m:den>
                      </m:f>
                      <m:ctrlPr>
                        <w:rPr>
                          <w:rFonts w:ascii="Cambria Math" w:hAnsi="Cambria Math"/>
                          <w:highlight w:val="none"/>
                        </w:rPr>
                      </m:ctrlPr>
                    </m:e>
                  </m:mr>
                  <m:mr>
                    <m:e>
                      <m:sSubSup>
                        <m:sSubSupPr>
                          <m:ctrlPr>
                            <w:rPr>
                              <w:rFonts w:ascii="Cambria Math" w:hAnsi="Cambria Math"/>
                              <w:highlight w:val="none"/>
                            </w:rPr>
                          </m:ctrlPr>
                        </m:sSubSupPr>
                        <m:e>
                          <m:r>
                            <m:rPr/>
                            <w:rPr>
                              <w:rFonts w:ascii="Cambria Math" w:hAnsi="Cambria Math"/>
                              <w:highlight w:val="none"/>
                            </w:rPr>
                            <m:t>v</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up>
                          <m:r>
                            <m:rPr>
                              <m:sty m:val="p"/>
                            </m:rPr>
                            <w:rPr>
                              <w:rFonts w:ascii="Cambria Math" w:hAnsi="Cambria Math"/>
                              <w:highlight w:val="none"/>
                            </w:rPr>
                            <m:t>'</m:t>
                          </m:r>
                          <m:ctrlPr>
                            <w:rPr>
                              <w:rFonts w:ascii="Cambria Math" w:hAnsi="Cambria Math"/>
                              <w:highlight w:val="none"/>
                            </w:rPr>
                          </m:ctrlPr>
                        </m:sup>
                      </m:sSubSup>
                      <m:r>
                        <m:rPr/>
                        <w:rPr>
                          <w:rFonts w:ascii="Cambria Math" w:hAnsi="Cambria Math"/>
                          <w:highlight w:val="none"/>
                        </w:rPr>
                        <m:t>=</m:t>
                      </m:r>
                      <m:f>
                        <m:fPr>
                          <m:ctrlPr>
                            <w:rPr>
                              <w:rFonts w:ascii="Cambria Math" w:hAnsi="Cambria Math"/>
                              <w:highlight w:val="none"/>
                            </w:rPr>
                          </m:ctrlPr>
                        </m:fPr>
                        <m:num>
                          <m:r>
                            <m:rPr/>
                            <w:rPr>
                              <w:rFonts w:ascii="Cambria Math" w:hAnsi="Cambria Math"/>
                              <w:highlight w:val="none"/>
                            </w:rPr>
                            <m:t>5.520</m:t>
                          </m:r>
                          <m:ctrlPr>
                            <w:rPr>
                              <w:rFonts w:ascii="Cambria Math" w:hAnsi="Cambria Math"/>
                              <w:highlight w:val="none"/>
                            </w:rPr>
                          </m:ctrlPr>
                        </m:num>
                        <m:den>
                          <m:r>
                            <m:rPr/>
                            <w:rPr>
                              <w:rFonts w:ascii="Cambria Math" w:hAnsi="Cambria Math"/>
                              <w:highlight w:val="none"/>
                            </w:rPr>
                            <m:t>16.518+1.481</m:t>
                          </m:r>
                          <m:f>
                            <m:fPr>
                              <m:ctrlPr>
                                <w:rPr>
                                  <w:rFonts w:ascii="Cambria Math" w:hAnsi="Cambria Math"/>
                                  <w:highlight w:val="none"/>
                                </w:rPr>
                              </m:ctrlPr>
                            </m:fPr>
                            <m:num>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r</m:t>
                                  </m:r>
                                  <m:ctrlPr>
                                    <w:rPr>
                                      <w:rFonts w:ascii="Cambria Math" w:hAnsi="Cambria Math"/>
                                      <w:highlight w:val="none"/>
                                    </w:rPr>
                                  </m:ctrlPr>
                                </m:sub>
                              </m:sSub>
                              <m:ctrlPr>
                                <w:rPr>
                                  <w:rFonts w:ascii="Cambria Math" w:hAnsi="Cambria Math"/>
                                  <w:highlight w:val="none"/>
                                </w:rPr>
                              </m:ctrlPr>
                            </m:num>
                            <m:den>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k</m:t>
                                  </m:r>
                                  <m:ctrlPr>
                                    <w:rPr>
                                      <w:rFonts w:ascii="Cambria Math" w:hAnsi="Cambria Math"/>
                                      <w:highlight w:val="none"/>
                                    </w:rPr>
                                  </m:ctrlPr>
                                </m:sub>
                              </m:sSub>
                              <m:ctrlPr>
                                <w:rPr>
                                  <w:rFonts w:ascii="Cambria Math" w:hAnsi="Cambria Math"/>
                                  <w:highlight w:val="none"/>
                                </w:rPr>
                              </m:ctrlPr>
                            </m:den>
                          </m:f>
                          <m:sSub>
                            <m:sSubPr>
                              <m:ctrlPr>
                                <w:rPr>
                                  <w:rFonts w:ascii="Cambria Math" w:hAnsi="Cambria Math"/>
                                  <w:highlight w:val="none"/>
                                </w:rPr>
                              </m:ctrlPr>
                            </m:sSubPr>
                            <m:e>
                              <m:r>
                                <m:rPr/>
                                <w:rPr>
                                  <w:rFonts w:ascii="Cambria Math" w:hAnsi="Cambria Math"/>
                                  <w:highlight w:val="none"/>
                                </w:rPr>
                                <m:t>c</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m:t>
                          </m:r>
                          <m:f>
                            <m:fPr>
                              <m:ctrlPr>
                                <w:rPr>
                                  <w:rFonts w:ascii="Cambria Math" w:hAnsi="Cambria Math"/>
                                  <w:highlight w:val="none"/>
                                </w:rPr>
                              </m:ctrlPr>
                            </m:fPr>
                            <m:num>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r</m:t>
                                  </m:r>
                                  <m:ctrlPr>
                                    <w:rPr>
                                      <w:rFonts w:ascii="Cambria Math" w:hAnsi="Cambria Math"/>
                                      <w:highlight w:val="none"/>
                                    </w:rPr>
                                  </m:ctrlPr>
                                </m:sub>
                              </m:sSub>
                              <m:ctrlPr>
                                <w:rPr>
                                  <w:rFonts w:ascii="Cambria Math" w:hAnsi="Cambria Math"/>
                                  <w:highlight w:val="none"/>
                                </w:rPr>
                              </m:ctrlPr>
                            </m:num>
                            <m:den>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k</m:t>
                                  </m:r>
                                  <m:ctrlPr>
                                    <w:rPr>
                                      <w:rFonts w:ascii="Cambria Math" w:hAnsi="Cambria Math"/>
                                      <w:highlight w:val="none"/>
                                    </w:rPr>
                                  </m:ctrlPr>
                                </m:sub>
                              </m:sSub>
                              <m:ctrlPr>
                                <w:rPr>
                                  <w:rFonts w:ascii="Cambria Math" w:hAnsi="Cambria Math"/>
                                  <w:highlight w:val="none"/>
                                </w:rPr>
                              </m:ctrlPr>
                            </m:den>
                          </m:f>
                          <m:sSub>
                            <m:sSubPr>
                              <m:ctrlPr>
                                <w:rPr>
                                  <w:rFonts w:ascii="Cambria Math" w:hAnsi="Cambria Math"/>
                                  <w:highlight w:val="none"/>
                                </w:rPr>
                              </m:ctrlPr>
                            </m:sSubPr>
                            <m:e>
                              <m:r>
                                <m:rPr/>
                                <w:rPr>
                                  <w:rFonts w:ascii="Cambria Math" w:hAnsi="Cambria Math"/>
                                  <w:highlight w:val="none"/>
                                </w:rPr>
                                <m:t>d</m:t>
                              </m:r>
                              <m:ctrlPr>
                                <w:rPr>
                                  <w:rFonts w:ascii="Cambria Math" w:hAnsi="Cambria Math"/>
                                  <w:highlight w:val="none"/>
                                </w:rPr>
                              </m:ctrlPr>
                            </m:e>
                            <m:sub>
                              <m:r>
                                <m:rPr>
                                  <m:sty m:val="p"/>
                                </m:rPr>
                                <w:rPr>
                                  <w:rFonts w:ascii="Cambria Math" w:hAnsi="Cambria Math"/>
                                  <w:highlight w:val="none"/>
                                </w:rPr>
                                <m:t>k</m:t>
                              </m:r>
                              <m:r>
                                <m:rPr/>
                                <w:rPr>
                                  <w:rFonts w:ascii="Cambria Math" w:hAnsi="Cambria Math"/>
                                  <w:highlight w:val="none"/>
                                </w:rPr>
                                <m:t>,i</m:t>
                              </m:r>
                              <m:ctrlPr>
                                <w:rPr>
                                  <w:rFonts w:ascii="Cambria Math" w:hAnsi="Cambria Math"/>
                                  <w:highlight w:val="none"/>
                                </w:rPr>
                              </m:ctrlPr>
                            </m:sub>
                          </m:sSub>
                          <m:ctrlPr>
                            <w:rPr>
                              <w:rFonts w:ascii="Cambria Math" w:hAnsi="Cambria Math"/>
                              <w:highlight w:val="none"/>
                            </w:rPr>
                          </m:ctrlPr>
                        </m:den>
                      </m:f>
                      <m:ctrlPr>
                        <w:rPr>
                          <w:rFonts w:ascii="Cambria Math" w:hAnsi="Cambria Math"/>
                          <w:highlight w:val="none"/>
                        </w:rPr>
                      </m:ctrlPr>
                    </m:e>
                  </m:mr>
                </m:m>
              </m:oMath>
            </m:oMathPara>
          </w:p>
        </w:tc>
        <w:tc>
          <w:tcPr>
            <w:tcW w:w="1969" w:type="dxa"/>
            <w:vAlign w:val="center"/>
          </w:tcPr>
          <w:p w14:paraId="6997A8A2">
            <w:pPr>
              <w:ind w:firstLine="480"/>
              <w:jc w:val="right"/>
              <w:rPr>
                <w:highlight w:val="none"/>
              </w:rPr>
            </w:pPr>
            <w:r>
              <w:rPr>
                <w:highlight w:val="none"/>
              </w:rPr>
              <w:t>(C.2)</w:t>
            </w:r>
          </w:p>
        </w:tc>
      </w:tr>
    </w:tbl>
    <w:p w14:paraId="4CFC5FDA">
      <w:pPr>
        <w:ind w:firstLine="480" w:firstLineChars="200"/>
        <w:rPr>
          <w:highlight w:val="none"/>
        </w:rPr>
      </w:pPr>
      <w:r>
        <w:rPr>
          <w:rFonts w:hint="eastAsia"/>
          <w:highlight w:val="none"/>
        </w:rPr>
        <w:t>式中，</w:t>
      </w:r>
      <m:oMath>
        <m:sSubSup>
          <m:sSubSupPr>
            <m:ctrlPr>
              <w:rPr>
                <w:rFonts w:ascii="Cambria Math" w:hAnsi="Cambria Math"/>
                <w:i/>
                <w:highlight w:val="none"/>
              </w:rPr>
            </m:ctrlPr>
          </m:sSubSupPr>
          <m:e>
            <m:r>
              <m:rPr/>
              <w:rPr>
                <w:rFonts w:ascii="Cambria Math" w:hAnsi="Cambria Math"/>
                <w:highlight w:val="none"/>
              </w:rPr>
              <m:t>u'</m:t>
            </m:r>
            <m:ctrlPr>
              <w:rPr>
                <w:rFonts w:ascii="Cambria Math" w:hAnsi="Cambria Math"/>
                <w:i/>
                <w:highlight w:val="none"/>
              </w:rPr>
            </m:ctrlPr>
          </m:e>
          <m:sub>
            <m:r>
              <m:rPr/>
              <w:rPr>
                <w:rFonts w:ascii="Cambria Math" w:hAnsi="Cambria Math"/>
                <w:highlight w:val="none"/>
              </w:rPr>
              <m:t>k,i</m:t>
            </m:r>
            <m:ctrlPr>
              <w:rPr>
                <w:rFonts w:ascii="Cambria Math" w:hAnsi="Cambria Math"/>
                <w:i/>
                <w:highlight w:val="none"/>
              </w:rPr>
            </m:ctrlPr>
          </m:sub>
          <m:sup>
            <m:ctrlPr>
              <w:rPr>
                <w:rFonts w:ascii="Cambria Math" w:hAnsi="Cambria Math"/>
                <w:i/>
                <w:highlight w:val="none"/>
              </w:rPr>
            </m:ctrlPr>
          </m:sup>
        </m:sSubSup>
      </m:oMath>
      <w:r>
        <w:rPr>
          <w:rFonts w:hint="eastAsia"/>
          <w:highlight w:val="none"/>
        </w:rPr>
        <w:t>和</w:t>
      </w:r>
      <m:oMath>
        <m:sSubSup>
          <m:sSubSupPr>
            <m:ctrlPr>
              <w:rPr>
                <w:rFonts w:ascii="Cambria Math" w:hAnsi="Cambria Math"/>
                <w:i/>
                <w:highlight w:val="none"/>
              </w:rPr>
            </m:ctrlPr>
          </m:sSubSupPr>
          <m:e>
            <m:r>
              <m:rPr/>
              <w:rPr>
                <w:rFonts w:ascii="Cambria Math" w:hAnsi="Cambria Math"/>
                <w:highlight w:val="none"/>
              </w:rPr>
              <m:t>v'</m:t>
            </m:r>
            <m:ctrlPr>
              <w:rPr>
                <w:rFonts w:ascii="Cambria Math" w:hAnsi="Cambria Math"/>
                <w:i/>
                <w:highlight w:val="none"/>
              </w:rPr>
            </m:ctrlPr>
          </m:e>
          <m:sub>
            <m:r>
              <m:rPr/>
              <w:rPr>
                <w:rFonts w:ascii="Cambria Math" w:hAnsi="Cambria Math"/>
                <w:highlight w:val="none"/>
              </w:rPr>
              <m:t>k,i</m:t>
            </m:r>
            <m:ctrlPr>
              <w:rPr>
                <w:rFonts w:ascii="Cambria Math" w:hAnsi="Cambria Math"/>
                <w:i/>
                <w:highlight w:val="none"/>
              </w:rPr>
            </m:ctrlPr>
          </m:sub>
          <m:sup>
            <m:ctrlPr>
              <w:rPr>
                <w:rFonts w:ascii="Cambria Math" w:hAnsi="Cambria Math"/>
                <w:i/>
                <w:highlight w:val="none"/>
              </w:rPr>
            </m:ctrlPr>
          </m:sup>
        </m:sSubSup>
      </m:oMath>
      <w:r>
        <w:rPr>
          <w:rFonts w:hint="eastAsia"/>
          <w:highlight w:val="none"/>
        </w:rPr>
        <w:t>是考虑了</w:t>
      </w:r>
      <w:r>
        <w:rPr>
          <w:rFonts w:ascii="宋体" w:hAnsi="宋体" w:eastAsia="宋体"/>
          <w:color w:val="000000"/>
          <w:highlight w:val="none"/>
        </w:rPr>
        <w:t>适应性色度位移</w:t>
      </w:r>
      <w:r>
        <w:rPr>
          <w:rFonts w:hint="eastAsia"/>
          <w:highlight w:val="none"/>
        </w:rPr>
        <w:t>后的试验色样</w:t>
      </w:r>
      <w:r>
        <w:rPr>
          <w:rFonts w:hint="eastAsia"/>
          <w:i/>
          <w:iCs/>
          <w:highlight w:val="none"/>
        </w:rPr>
        <w:t>i</w:t>
      </w:r>
      <w:r>
        <w:rPr>
          <w:rFonts w:hint="eastAsia"/>
          <w:highlight w:val="none"/>
        </w:rPr>
        <w:t>的色品坐标值。函数</w:t>
      </w:r>
      <w:r>
        <w:rPr>
          <w:rFonts w:hint="eastAsia"/>
          <w:i/>
          <w:iCs/>
          <w:highlight w:val="none"/>
        </w:rPr>
        <w:t>c</w:t>
      </w:r>
      <w:r>
        <w:rPr>
          <w:rFonts w:hint="eastAsia"/>
          <w:highlight w:val="none"/>
        </w:rPr>
        <w:t>和</w:t>
      </w:r>
      <w:r>
        <w:rPr>
          <w:rFonts w:hint="eastAsia"/>
          <w:i/>
          <w:iCs/>
          <w:highlight w:val="none"/>
        </w:rPr>
        <w:t>d</w:t>
      </w:r>
      <w:r>
        <w:rPr>
          <w:rFonts w:hint="eastAsia"/>
          <w:highlight w:val="none"/>
        </w:rPr>
        <w:t>应根据式(</w:t>
      </w:r>
      <w:r>
        <w:rPr>
          <w:highlight w:val="none"/>
        </w:rPr>
        <w:t>C.3</w:t>
      </w:r>
      <w:r>
        <w:rPr>
          <w:rFonts w:hint="eastAsia"/>
          <w:highlight w:val="none"/>
        </w:rPr>
        <w:t>)计算：</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4110"/>
        <w:gridCol w:w="1985"/>
      </w:tblGrid>
      <w:tr w14:paraId="4F68D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7" w:type="dxa"/>
            <w:vAlign w:val="center"/>
          </w:tcPr>
          <w:p w14:paraId="7A8ECC63">
            <w:pPr>
              <w:jc w:val="left"/>
              <w:rPr>
                <w:highlight w:val="none"/>
              </w:rPr>
            </w:pPr>
          </w:p>
        </w:tc>
        <w:tc>
          <w:tcPr>
            <w:tcW w:w="4110" w:type="dxa"/>
            <w:vAlign w:val="center"/>
          </w:tcPr>
          <w:p w14:paraId="7DA9D6B0">
            <w:pPr>
              <w:ind w:leftChars="-2" w:hanging="4" w:hangingChars="2"/>
              <w:jc w:val="center"/>
              <w:rPr>
                <w:highlight w:val="none"/>
              </w:rPr>
            </w:pPr>
            <m:oMathPara>
              <m:oMath>
                <m:r>
                  <m:rPr/>
                  <w:rPr>
                    <w:rFonts w:hint="eastAsia" w:ascii="Cambria Math" w:hAnsi="Cambria Math"/>
                    <w:highlight w:val="none"/>
                  </w:rPr>
                  <m:t>c=</m:t>
                </m:r>
                <m:f>
                  <m:fPr>
                    <m:ctrlPr>
                      <w:rPr>
                        <w:rFonts w:ascii="Cambria Math" w:hAnsi="Cambria Math"/>
                        <w:i/>
                        <w:highlight w:val="none"/>
                      </w:rPr>
                    </m:ctrlPr>
                  </m:fPr>
                  <m:num>
                    <m:r>
                      <m:rPr/>
                      <w:rPr>
                        <w:rFonts w:ascii="Cambria Math" w:hAnsi="Cambria Math"/>
                        <w:highlight w:val="none"/>
                      </w:rPr>
                      <m:t>1</m:t>
                    </m:r>
                    <m:ctrlPr>
                      <w:rPr>
                        <w:rFonts w:ascii="Cambria Math" w:hAnsi="Cambria Math"/>
                        <w:i/>
                        <w:highlight w:val="none"/>
                      </w:rPr>
                    </m:ctrlPr>
                  </m:num>
                  <m:den>
                    <m:r>
                      <m:rPr/>
                      <w:rPr>
                        <w:rFonts w:ascii="Cambria Math" w:hAnsi="Cambria Math"/>
                        <w:highlight w:val="none"/>
                      </w:rPr>
                      <m:t>v</m:t>
                    </m:r>
                    <m:ctrlPr>
                      <w:rPr>
                        <w:rFonts w:ascii="Cambria Math" w:hAnsi="Cambria Math"/>
                        <w:i/>
                        <w:highlight w:val="none"/>
                      </w:rPr>
                    </m:ctrlPr>
                  </m:den>
                </m:f>
                <m:d>
                  <m:dPr>
                    <m:ctrlPr>
                      <w:rPr>
                        <w:rFonts w:ascii="Cambria Math" w:hAnsi="Cambria Math"/>
                        <w:i/>
                        <w:highlight w:val="none"/>
                      </w:rPr>
                    </m:ctrlPr>
                  </m:dPr>
                  <m:e>
                    <m:r>
                      <m:rPr/>
                      <w:rPr>
                        <w:rFonts w:ascii="Cambria Math" w:hAnsi="Cambria Math"/>
                        <w:highlight w:val="none"/>
                      </w:rPr>
                      <m:t>4</m:t>
                    </m:r>
                    <m:r>
                      <m:rPr/>
                      <w:rPr>
                        <w:rFonts w:hint="eastAsia" w:ascii="微软雅黑" w:hAnsi="微软雅黑" w:eastAsia="微软雅黑" w:cs="微软雅黑"/>
                        <w:highlight w:val="none"/>
                      </w:rPr>
                      <m:t>−</m:t>
                    </m:r>
                    <m:r>
                      <m:rPr/>
                      <w:rPr>
                        <w:rFonts w:hint="eastAsia" w:ascii="Cambria Math" w:hAnsi="Cambria Math"/>
                        <w:highlight w:val="none"/>
                      </w:rPr>
                      <m:t>u</m:t>
                    </m:r>
                    <m:r>
                      <m:rPr/>
                      <w:rPr>
                        <w:rFonts w:hint="eastAsia" w:ascii="Cambria Math" w:hAnsi="Cambria Math" w:eastAsia="微软雅黑" w:cs="微软雅黑"/>
                        <w:highlight w:val="none"/>
                      </w:rPr>
                      <m:t>−</m:t>
                    </m:r>
                    <m:r>
                      <m:rPr/>
                      <w:rPr>
                        <w:rFonts w:ascii="Cambria Math" w:hAnsi="Cambria Math"/>
                        <w:highlight w:val="none"/>
                      </w:rPr>
                      <m:t>10v</m:t>
                    </m:r>
                    <m:ctrlPr>
                      <w:rPr>
                        <w:rFonts w:ascii="Cambria Math" w:hAnsi="Cambria Math"/>
                        <w:i/>
                        <w:highlight w:val="none"/>
                      </w:rPr>
                    </m:ctrlPr>
                  </m:e>
                </m:d>
              </m:oMath>
            </m:oMathPara>
          </w:p>
          <w:p w14:paraId="5343F1B7">
            <w:pPr>
              <w:ind w:leftChars="-2" w:hanging="4" w:hangingChars="2"/>
              <w:jc w:val="center"/>
              <w:rPr>
                <w:highlight w:val="none"/>
              </w:rPr>
            </w:pPr>
            <m:oMathPara>
              <m:oMath>
                <m:r>
                  <m:rPr/>
                  <w:rPr>
                    <w:rFonts w:ascii="Cambria Math" w:hAnsi="Cambria Math"/>
                    <w:highlight w:val="none"/>
                  </w:rPr>
                  <m:t>d=</m:t>
                </m:r>
                <m:f>
                  <m:fPr>
                    <m:ctrlPr>
                      <w:rPr>
                        <w:rFonts w:ascii="Cambria Math" w:hAnsi="Cambria Math"/>
                        <w:i/>
                        <w:highlight w:val="none"/>
                      </w:rPr>
                    </m:ctrlPr>
                  </m:fPr>
                  <m:num>
                    <m:r>
                      <m:rPr/>
                      <w:rPr>
                        <w:rFonts w:ascii="Cambria Math" w:hAnsi="Cambria Math"/>
                        <w:highlight w:val="none"/>
                      </w:rPr>
                      <m:t>1</m:t>
                    </m:r>
                    <m:ctrlPr>
                      <w:rPr>
                        <w:rFonts w:ascii="Cambria Math" w:hAnsi="Cambria Math"/>
                        <w:i/>
                        <w:highlight w:val="none"/>
                      </w:rPr>
                    </m:ctrlPr>
                  </m:num>
                  <m:den>
                    <m:r>
                      <m:rPr/>
                      <w:rPr>
                        <w:rFonts w:ascii="Cambria Math" w:hAnsi="Cambria Math"/>
                        <w:highlight w:val="none"/>
                      </w:rPr>
                      <m:t>v</m:t>
                    </m:r>
                    <m:ctrlPr>
                      <w:rPr>
                        <w:rFonts w:ascii="Cambria Math" w:hAnsi="Cambria Math"/>
                        <w:i/>
                        <w:highlight w:val="none"/>
                      </w:rPr>
                    </m:ctrlPr>
                  </m:den>
                </m:f>
                <m:d>
                  <m:dPr>
                    <m:ctrlPr>
                      <w:rPr>
                        <w:rFonts w:ascii="Cambria Math" w:hAnsi="Cambria Math"/>
                        <w:i/>
                        <w:highlight w:val="none"/>
                      </w:rPr>
                    </m:ctrlPr>
                  </m:dPr>
                  <m:e>
                    <m:r>
                      <m:rPr/>
                      <w:rPr>
                        <w:rFonts w:ascii="Cambria Math" w:hAnsi="Cambria Math"/>
                        <w:highlight w:val="none"/>
                      </w:rPr>
                      <m:t>1.708v+0.404</m:t>
                    </m:r>
                    <m:r>
                      <m:rPr/>
                      <w:rPr>
                        <w:rFonts w:hint="eastAsia" w:ascii="Cambria Math" w:hAnsi="Cambria Math" w:eastAsia="微软雅黑" w:cs="微软雅黑"/>
                        <w:highlight w:val="none"/>
                      </w:rPr>
                      <m:t>−</m:t>
                    </m:r>
                    <m:r>
                      <m:rPr/>
                      <w:rPr>
                        <w:rFonts w:ascii="Cambria Math" w:hAnsi="Cambria Math" w:eastAsia="微软雅黑" w:cs="微软雅黑"/>
                        <w:highlight w:val="none"/>
                      </w:rPr>
                      <m:t>1.481</m:t>
                    </m:r>
                    <m:r>
                      <m:rPr/>
                      <w:rPr>
                        <w:rFonts w:hint="eastAsia" w:ascii="Cambria Math" w:hAnsi="Cambria Math"/>
                        <w:highlight w:val="none"/>
                      </w:rPr>
                      <m:t>u</m:t>
                    </m:r>
                    <m:ctrlPr>
                      <w:rPr>
                        <w:rFonts w:ascii="Cambria Math" w:hAnsi="Cambria Math"/>
                        <w:i/>
                        <w:highlight w:val="none"/>
                      </w:rPr>
                    </m:ctrlPr>
                  </m:e>
                </m:d>
              </m:oMath>
            </m:oMathPara>
          </w:p>
        </w:tc>
        <w:tc>
          <w:tcPr>
            <w:tcW w:w="1985" w:type="dxa"/>
            <w:vAlign w:val="center"/>
          </w:tcPr>
          <w:p w14:paraId="709CEE24">
            <w:pPr>
              <w:ind w:firstLine="480"/>
              <w:jc w:val="right"/>
              <w:rPr>
                <w:highlight w:val="none"/>
              </w:rPr>
            </w:pPr>
            <w:r>
              <w:rPr>
                <w:highlight w:val="none"/>
              </w:rPr>
              <w:t>(C.3)</w:t>
            </w:r>
          </w:p>
        </w:tc>
      </w:tr>
    </w:tbl>
    <w:p w14:paraId="5952A5B2">
      <w:pPr>
        <w:rPr>
          <w:highlight w:val="none"/>
        </w:rPr>
      </w:pPr>
      <w:r>
        <w:rPr>
          <w:highlight w:val="none"/>
        </w:rPr>
        <w:t>D</w:t>
      </w:r>
      <w:r>
        <w:rPr>
          <w:rFonts w:hint="eastAsia"/>
          <w:highlight w:val="none"/>
        </w:rPr>
        <w:t>5</w:t>
      </w:r>
      <w:r>
        <w:rPr>
          <w:highlight w:val="none"/>
        </w:rPr>
        <w:t xml:space="preserve"> </w:t>
      </w:r>
      <w:r>
        <w:rPr>
          <w:rFonts w:hint="eastAsia"/>
          <w:highlight w:val="none"/>
        </w:rPr>
        <w:t>由</w:t>
      </w:r>
      <w:r>
        <w:rPr>
          <w:rFonts w:hint="eastAsia"/>
          <w:i/>
          <w:iCs/>
          <w:highlight w:val="none"/>
        </w:rPr>
        <w:t>u</w:t>
      </w:r>
      <w:r>
        <w:rPr>
          <w:highlight w:val="none"/>
        </w:rPr>
        <w:t xml:space="preserve">, </w:t>
      </w:r>
      <w:r>
        <w:rPr>
          <w:rFonts w:hint="eastAsia"/>
          <w:i/>
          <w:iCs/>
          <w:highlight w:val="none"/>
        </w:rPr>
        <w:t>v</w:t>
      </w:r>
      <w:r>
        <w:rPr>
          <w:highlight w:val="none"/>
        </w:rPr>
        <w:t xml:space="preserve">, </w:t>
      </w:r>
      <w:r>
        <w:rPr>
          <w:rFonts w:hint="eastAsia"/>
          <w:i/>
          <w:iCs/>
          <w:highlight w:val="none"/>
        </w:rPr>
        <w:t>Y</w:t>
      </w:r>
      <w:r>
        <w:rPr>
          <w:rFonts w:hint="eastAsia"/>
          <w:highlight w:val="none"/>
        </w:rPr>
        <w:t>转换为1</w:t>
      </w:r>
      <w:r>
        <w:rPr>
          <w:highlight w:val="none"/>
        </w:rPr>
        <w:t>964</w:t>
      </w:r>
      <w:r>
        <w:rPr>
          <w:rFonts w:hint="eastAsia"/>
          <w:highlight w:val="none"/>
        </w:rPr>
        <w:t>均匀空间色品坐标</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4110"/>
        <w:gridCol w:w="1985"/>
      </w:tblGrid>
      <w:tr w14:paraId="181989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7" w:type="dxa"/>
            <w:vAlign w:val="center"/>
          </w:tcPr>
          <w:p w14:paraId="648C947F">
            <w:pPr>
              <w:jc w:val="left"/>
              <w:rPr>
                <w:highlight w:val="none"/>
              </w:rPr>
            </w:pPr>
          </w:p>
        </w:tc>
        <w:tc>
          <w:tcPr>
            <w:tcW w:w="4110" w:type="dxa"/>
            <w:vAlign w:val="center"/>
          </w:tcPr>
          <w:p w14:paraId="5E37DB49">
            <w:pPr>
              <w:ind w:leftChars="-2" w:hanging="4" w:hangingChars="2"/>
              <w:jc w:val="center"/>
              <w:rPr>
                <w:highlight w:val="none"/>
              </w:rPr>
            </w:pPr>
            <m:oMathPara>
              <m:oMath>
                <m:eqArr>
                  <m:eqArrPr>
                    <m:ctrlPr>
                      <w:rPr>
                        <w:rFonts w:ascii="Cambria Math" w:hAnsi="Cambria Math"/>
                        <w:highlight w:val="none"/>
                      </w:rPr>
                    </m:ctrlPr>
                  </m:eqArrPr>
                  <m:e>
                    <m:r>
                      <m:rPr/>
                      <w:rPr>
                        <w:rFonts w:ascii="Cambria Math" w:hAnsi="Cambria Math"/>
                        <w:highlight w:val="none"/>
                      </w:rPr>
                      <m:t>&amp;</m:t>
                    </m:r>
                    <m:sSup>
                      <m:sSupPr>
                        <m:ctrlPr>
                          <w:rPr>
                            <w:rFonts w:ascii="Cambria Math" w:hAnsi="Cambria Math"/>
                            <w:highlight w:val="none"/>
                          </w:rPr>
                        </m:ctrlPr>
                      </m:sSupPr>
                      <m:e>
                        <m:r>
                          <m:rPr/>
                          <w:rPr>
                            <w:rFonts w:hint="eastAsia" w:ascii="Cambria Math" w:hAnsi="Cambria Math"/>
                            <w:highlight w:val="none"/>
                          </w:rPr>
                          <m:t>W</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r>
                      <m:rPr/>
                      <w:rPr>
                        <w:rFonts w:ascii="Cambria Math" w:hAnsi="Cambria Math"/>
                        <w:highlight w:val="none"/>
                      </w:rPr>
                      <m:t>=25</m:t>
                    </m:r>
                    <m:sSup>
                      <m:sSupPr>
                        <m:ctrlPr>
                          <w:rPr>
                            <w:rFonts w:ascii="Cambria Math" w:hAnsi="Cambria Math"/>
                            <w:highlight w:val="none"/>
                          </w:rPr>
                        </m:ctrlPr>
                      </m:sSupPr>
                      <m:e>
                        <m:r>
                          <m:rPr/>
                          <w:rPr>
                            <w:rFonts w:ascii="Cambria Math" w:hAnsi="Cambria Math"/>
                            <w:highlight w:val="none"/>
                          </w:rPr>
                          <m:t>Y</m:t>
                        </m:r>
                        <m:ctrlPr>
                          <w:rPr>
                            <w:rFonts w:ascii="Cambria Math" w:hAnsi="Cambria Math"/>
                            <w:highlight w:val="none"/>
                          </w:rPr>
                        </m:ctrlPr>
                      </m:e>
                      <m:sup>
                        <m:f>
                          <m:fPr>
                            <m:ctrlPr>
                              <w:rPr>
                                <w:rFonts w:ascii="Cambria Math" w:hAnsi="Cambria Math"/>
                                <w:highlight w:val="none"/>
                              </w:rPr>
                            </m:ctrlPr>
                          </m:fPr>
                          <m:num>
                            <m:r>
                              <m:rPr/>
                              <w:rPr>
                                <w:rFonts w:ascii="Cambria Math" w:hAnsi="Cambria Math"/>
                                <w:highlight w:val="none"/>
                              </w:rPr>
                              <m:t>1</m:t>
                            </m:r>
                            <m:ctrlPr>
                              <w:rPr>
                                <w:rFonts w:ascii="Cambria Math" w:hAnsi="Cambria Math"/>
                                <w:highlight w:val="none"/>
                              </w:rPr>
                            </m:ctrlPr>
                          </m:num>
                          <m:den>
                            <m:r>
                              <m:rPr/>
                              <w:rPr>
                                <w:rFonts w:ascii="Cambria Math" w:hAnsi="Cambria Math"/>
                                <w:highlight w:val="none"/>
                              </w:rPr>
                              <m:t>3</m:t>
                            </m:r>
                            <m:ctrlPr>
                              <w:rPr>
                                <w:rFonts w:ascii="Cambria Math" w:hAnsi="Cambria Math"/>
                                <w:highlight w:val="none"/>
                              </w:rPr>
                            </m:ctrlPr>
                          </m:den>
                        </m:f>
                        <m:ctrlPr>
                          <w:rPr>
                            <w:rFonts w:ascii="Cambria Math" w:hAnsi="Cambria Math"/>
                            <w:highlight w:val="none"/>
                          </w:rPr>
                        </m:ctrlPr>
                      </m:sup>
                    </m:sSup>
                    <m:r>
                      <m:rPr/>
                      <w:rPr>
                        <w:rFonts w:ascii="Cambria Math" w:hAnsi="Cambria Math"/>
                        <w:highlight w:val="none"/>
                      </w:rPr>
                      <m:t>−17</m:t>
                    </m:r>
                    <m:ctrlPr>
                      <w:rPr>
                        <w:rFonts w:ascii="Cambria Math" w:hAnsi="Cambria Math"/>
                        <w:highlight w:val="none"/>
                      </w:rPr>
                    </m:ctrlPr>
                  </m:e>
                  <m:e>
                    <m:r>
                      <m:rPr/>
                      <w:rPr>
                        <w:rFonts w:ascii="Cambria Math" w:hAnsi="Cambria Math"/>
                        <w:highlight w:val="none"/>
                      </w:rPr>
                      <m:t>&amp;</m:t>
                    </m:r>
                    <m:sSup>
                      <m:sSupPr>
                        <m:ctrlPr>
                          <w:rPr>
                            <w:rFonts w:ascii="Cambria Math" w:hAnsi="Cambria Math"/>
                            <w:highlight w:val="none"/>
                          </w:rPr>
                        </m:ctrlPr>
                      </m:sSupPr>
                      <m:e>
                        <m:r>
                          <m:rPr/>
                          <w:rPr>
                            <w:rFonts w:ascii="Cambria Math" w:hAnsi="Cambria Math"/>
                            <w:highlight w:val="none"/>
                          </w:rPr>
                          <m:t>U</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r>
                      <m:rPr/>
                      <w:rPr>
                        <w:rFonts w:ascii="Cambria Math" w:hAnsi="Cambria Math"/>
                        <w:highlight w:val="none"/>
                      </w:rPr>
                      <m:t>=13</m:t>
                    </m:r>
                    <m:sSup>
                      <m:sSupPr>
                        <m:ctrlPr>
                          <w:rPr>
                            <w:rFonts w:ascii="Cambria Math" w:hAnsi="Cambria Math"/>
                            <w:highlight w:val="none"/>
                          </w:rPr>
                        </m:ctrlPr>
                      </m:sSupPr>
                      <m:e>
                        <m:r>
                          <m:rPr/>
                          <w:rPr>
                            <w:rFonts w:ascii="Cambria Math" w:hAnsi="Cambria Math"/>
                            <w:highlight w:val="none"/>
                          </w:rPr>
                          <m:t>W</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d>
                      <m:dPr>
                        <m:ctrlPr>
                          <w:rPr>
                            <w:rFonts w:ascii="Cambria Math" w:hAnsi="Cambria Math"/>
                            <w:highlight w:val="none"/>
                          </w:rPr>
                        </m:ctrlPr>
                      </m:dPr>
                      <m:e>
                        <m:r>
                          <m:rPr/>
                          <w:rPr>
                            <w:rFonts w:ascii="Cambria Math" w:hAnsi="Cambria Math"/>
                            <w:highlight w:val="none"/>
                          </w:rPr>
                          <m:t>u−</m:t>
                        </m:r>
                        <m:sSub>
                          <m:sSubPr>
                            <m:ctrlPr>
                              <w:rPr>
                                <w:rFonts w:ascii="Cambria Math" w:hAnsi="Cambria Math"/>
                                <w:highlight w:val="none"/>
                              </w:rPr>
                            </m:ctrlPr>
                          </m:sSubPr>
                          <m:e>
                            <m:r>
                              <m:rPr/>
                              <w:rPr>
                                <w:rFonts w:ascii="Cambria Math" w:hAnsi="Cambria Math"/>
                                <w:highlight w:val="none"/>
                              </w:rPr>
                              <m:t>u</m:t>
                            </m:r>
                            <m:ctrlPr>
                              <w:rPr>
                                <w:rFonts w:ascii="Cambria Math" w:hAnsi="Cambria Math"/>
                                <w:highlight w:val="none"/>
                              </w:rPr>
                            </m:ctrlPr>
                          </m:e>
                          <m:sub>
                            <m:r>
                              <m:rPr/>
                              <w:rPr>
                                <w:rFonts w:ascii="Cambria Math" w:hAnsi="Cambria Math"/>
                                <w:highlight w:val="none"/>
                              </w:rPr>
                              <m:t>0</m:t>
                            </m:r>
                            <m:ctrlPr>
                              <w:rPr>
                                <w:rFonts w:ascii="Cambria Math" w:hAnsi="Cambria Math"/>
                                <w:highlight w:val="none"/>
                              </w:rPr>
                            </m:ctrlPr>
                          </m:sub>
                        </m:sSub>
                        <m:ctrlPr>
                          <w:rPr>
                            <w:rFonts w:ascii="Cambria Math" w:hAnsi="Cambria Math"/>
                            <w:highlight w:val="none"/>
                          </w:rPr>
                        </m:ctrlPr>
                      </m:e>
                    </m:d>
                    <m:ctrlPr>
                      <w:rPr>
                        <w:rFonts w:ascii="Cambria Math" w:hAnsi="Cambria Math"/>
                        <w:highlight w:val="none"/>
                      </w:rPr>
                    </m:ctrlPr>
                  </m:e>
                  <m:e>
                    <m:r>
                      <m:rPr/>
                      <w:rPr>
                        <w:rFonts w:ascii="Cambria Math" w:hAnsi="Cambria Math"/>
                        <w:highlight w:val="none"/>
                      </w:rPr>
                      <m:t>&amp;</m:t>
                    </m:r>
                    <m:sSup>
                      <m:sSupPr>
                        <m:ctrlPr>
                          <w:rPr>
                            <w:rFonts w:ascii="Cambria Math" w:hAnsi="Cambria Math"/>
                            <w:highlight w:val="none"/>
                          </w:rPr>
                        </m:ctrlPr>
                      </m:sSupPr>
                      <m:e>
                        <m:r>
                          <m:rPr/>
                          <w:rPr>
                            <w:rFonts w:ascii="Cambria Math" w:hAnsi="Cambria Math"/>
                            <w:highlight w:val="none"/>
                          </w:rPr>
                          <m:t>V</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r>
                      <m:rPr/>
                      <w:rPr>
                        <w:rFonts w:ascii="Cambria Math" w:hAnsi="Cambria Math"/>
                        <w:highlight w:val="none"/>
                      </w:rPr>
                      <m:t>=13</m:t>
                    </m:r>
                    <m:sSup>
                      <m:sSupPr>
                        <m:ctrlPr>
                          <w:rPr>
                            <w:rFonts w:ascii="Cambria Math" w:hAnsi="Cambria Math"/>
                            <w:highlight w:val="none"/>
                          </w:rPr>
                        </m:ctrlPr>
                      </m:sSupPr>
                      <m:e>
                        <m:r>
                          <m:rPr/>
                          <w:rPr>
                            <w:rFonts w:ascii="Cambria Math" w:hAnsi="Cambria Math"/>
                            <w:highlight w:val="none"/>
                          </w:rPr>
                          <m:t>W</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d>
                      <m:dPr>
                        <m:ctrlPr>
                          <w:rPr>
                            <w:rFonts w:ascii="Cambria Math" w:hAnsi="Cambria Math"/>
                            <w:highlight w:val="none"/>
                          </w:rPr>
                        </m:ctrlPr>
                      </m:dPr>
                      <m:e>
                        <m:r>
                          <m:rPr/>
                          <w:rPr>
                            <w:rFonts w:ascii="Cambria Math" w:hAnsi="Cambria Math"/>
                            <w:highlight w:val="none"/>
                          </w:rPr>
                          <m:t>v−</m:t>
                        </m:r>
                        <m:sSub>
                          <m:sSubPr>
                            <m:ctrlPr>
                              <w:rPr>
                                <w:rFonts w:ascii="Cambria Math" w:hAnsi="Cambria Math"/>
                                <w:highlight w:val="none"/>
                              </w:rPr>
                            </m:ctrlPr>
                          </m:sSubPr>
                          <m:e>
                            <m:r>
                              <m:rPr/>
                              <w:rPr>
                                <w:rFonts w:ascii="Cambria Math" w:hAnsi="Cambria Math"/>
                                <w:highlight w:val="none"/>
                              </w:rPr>
                              <m:t>v</m:t>
                            </m:r>
                            <m:ctrlPr>
                              <w:rPr>
                                <w:rFonts w:ascii="Cambria Math" w:hAnsi="Cambria Math"/>
                                <w:highlight w:val="none"/>
                              </w:rPr>
                            </m:ctrlPr>
                          </m:e>
                          <m:sub>
                            <m:r>
                              <m:rPr/>
                              <w:rPr>
                                <w:rFonts w:ascii="Cambria Math" w:hAnsi="Cambria Math"/>
                                <w:highlight w:val="none"/>
                              </w:rPr>
                              <m:t>0</m:t>
                            </m:r>
                            <m:ctrlPr>
                              <w:rPr>
                                <w:rFonts w:ascii="Cambria Math" w:hAnsi="Cambria Math"/>
                                <w:highlight w:val="none"/>
                              </w:rPr>
                            </m:ctrlPr>
                          </m:sub>
                        </m:sSub>
                        <m:ctrlPr>
                          <w:rPr>
                            <w:rFonts w:ascii="Cambria Math" w:hAnsi="Cambria Math"/>
                            <w:highlight w:val="none"/>
                          </w:rPr>
                        </m:ctrlPr>
                      </m:e>
                    </m:d>
                    <m:ctrlPr>
                      <w:rPr>
                        <w:rFonts w:ascii="Cambria Math" w:hAnsi="Cambria Math"/>
                        <w:highlight w:val="none"/>
                      </w:rPr>
                    </m:ctrlPr>
                  </m:e>
                </m:eqArr>
              </m:oMath>
            </m:oMathPara>
          </w:p>
        </w:tc>
        <w:tc>
          <w:tcPr>
            <w:tcW w:w="1985" w:type="dxa"/>
            <w:vAlign w:val="center"/>
          </w:tcPr>
          <w:p w14:paraId="1FE46593">
            <w:pPr>
              <w:ind w:firstLine="480"/>
              <w:jc w:val="right"/>
              <w:rPr>
                <w:highlight w:val="none"/>
              </w:rPr>
            </w:pPr>
            <w:r>
              <w:rPr>
                <w:highlight w:val="none"/>
              </w:rPr>
              <w:t>(C.4)</w:t>
            </w:r>
          </w:p>
        </w:tc>
      </w:tr>
    </w:tbl>
    <w:p w14:paraId="1FB9D4A6">
      <w:pPr>
        <w:ind w:firstLine="480" w:firstLineChars="200"/>
        <w:rPr>
          <w:highlight w:val="none"/>
        </w:rPr>
      </w:pPr>
      <w:r>
        <w:rPr>
          <w:rFonts w:hint="eastAsia"/>
          <w:highlight w:val="none"/>
        </w:rPr>
        <w:t>式中，</w:t>
      </w:r>
    </w:p>
    <w:p w14:paraId="1066EE1F">
      <w:pPr>
        <w:ind w:firstLine="480" w:firstLineChars="200"/>
        <w:rPr>
          <w:highlight w:val="none"/>
        </w:rPr>
      </w:pPr>
      <m:oMath>
        <m:sSup>
          <m:sSupPr>
            <m:ctrlPr>
              <w:rPr>
                <w:rFonts w:ascii="Cambria Math" w:hAnsi="Cambria Math"/>
                <w:highlight w:val="none"/>
              </w:rPr>
            </m:ctrlPr>
          </m:sSupPr>
          <m:e>
            <m:r>
              <m:rPr/>
              <w:rPr>
                <w:rFonts w:ascii="Cambria Math" w:hAnsi="Cambria Math"/>
                <w:highlight w:val="none"/>
              </w:rPr>
              <m:t>W</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oMath>
      <w:r>
        <w:rPr>
          <w:rFonts w:hint="eastAsia"/>
          <w:highlight w:val="none"/>
        </w:rPr>
        <w:t>，</w:t>
      </w:r>
      <m:oMath>
        <m:sSup>
          <m:sSupPr>
            <m:ctrlPr>
              <w:rPr>
                <w:rFonts w:ascii="Cambria Math" w:hAnsi="Cambria Math"/>
                <w:highlight w:val="none"/>
              </w:rPr>
            </m:ctrlPr>
          </m:sSupPr>
          <m:e>
            <m:r>
              <m:rPr/>
              <w:rPr>
                <w:rFonts w:hint="eastAsia" w:ascii="Cambria Math" w:hAnsi="Cambria Math"/>
                <w:highlight w:val="none"/>
              </w:rPr>
              <m:t>U</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oMath>
      <w:r>
        <w:rPr>
          <w:rFonts w:hint="eastAsia"/>
          <w:highlight w:val="none"/>
        </w:rPr>
        <w:t>，</w:t>
      </w:r>
      <m:oMath>
        <m:sSup>
          <m:sSupPr>
            <m:ctrlPr>
              <w:rPr>
                <w:rFonts w:ascii="Cambria Math" w:hAnsi="Cambria Math"/>
                <w:highlight w:val="none"/>
              </w:rPr>
            </m:ctrlPr>
          </m:sSupPr>
          <m:e>
            <m:r>
              <m:rPr/>
              <w:rPr>
                <w:rFonts w:hint="eastAsia" w:ascii="Cambria Math" w:hAnsi="Cambria Math"/>
                <w:highlight w:val="none"/>
              </w:rPr>
              <m:t>V</m:t>
            </m:r>
            <m:ctrlPr>
              <w:rPr>
                <w:rFonts w:ascii="Cambria Math" w:hAnsi="Cambria Math"/>
                <w:highlight w:val="none"/>
              </w:rPr>
            </m:ctrlPr>
          </m:e>
          <m:sup>
            <m:r>
              <m:rPr/>
              <w:rPr>
                <w:rFonts w:ascii="Cambria Math" w:hAnsi="Cambria Math"/>
                <w:highlight w:val="none"/>
              </w:rPr>
              <m:t>∗</m:t>
            </m:r>
            <m:ctrlPr>
              <w:rPr>
                <w:rFonts w:ascii="Cambria Math" w:hAnsi="Cambria Math"/>
                <w:highlight w:val="none"/>
              </w:rPr>
            </m:ctrlPr>
          </m:sup>
        </m:sSup>
      </m:oMath>
      <w:r>
        <w:rPr>
          <w:rFonts w:hint="eastAsia"/>
          <w:highlight w:val="none"/>
        </w:rPr>
        <w:t>——均匀色空间坐标值；</w:t>
      </w:r>
    </w:p>
    <w:p w14:paraId="7716A70A">
      <w:pPr>
        <w:ind w:firstLine="1680" w:firstLineChars="700"/>
        <w:rPr>
          <w:highlight w:val="none"/>
        </w:rPr>
      </w:pPr>
      <w:r>
        <w:rPr>
          <w:rFonts w:hint="eastAsia"/>
          <w:i/>
          <w:iCs/>
          <w:highlight w:val="none"/>
        </w:rPr>
        <w:t>Y</w:t>
      </w:r>
      <w:r>
        <w:rPr>
          <w:rFonts w:hint="eastAsia"/>
          <w:highlight w:val="none"/>
        </w:rPr>
        <w:t xml:space="preserve">——试验色样的CIE 1931 </w:t>
      </w:r>
      <w:r>
        <w:rPr>
          <w:rFonts w:hint="eastAsia"/>
          <w:i/>
          <w:iCs/>
          <w:highlight w:val="none"/>
        </w:rPr>
        <w:t>X</w:t>
      </w:r>
      <w:r>
        <w:rPr>
          <w:i/>
          <w:iCs/>
          <w:highlight w:val="none"/>
        </w:rPr>
        <w:t xml:space="preserve">, </w:t>
      </w:r>
      <w:r>
        <w:rPr>
          <w:rFonts w:hint="eastAsia"/>
          <w:i/>
          <w:iCs/>
          <w:highlight w:val="none"/>
        </w:rPr>
        <w:t>Y</w:t>
      </w:r>
      <w:r>
        <w:rPr>
          <w:i/>
          <w:iCs/>
          <w:highlight w:val="none"/>
        </w:rPr>
        <w:t xml:space="preserve">, </w:t>
      </w:r>
      <w:r>
        <w:rPr>
          <w:rFonts w:hint="eastAsia"/>
          <w:i/>
          <w:iCs/>
          <w:highlight w:val="none"/>
        </w:rPr>
        <w:t>Z</w:t>
      </w:r>
      <w:r>
        <w:rPr>
          <w:rFonts w:hint="eastAsia"/>
          <w:highlight w:val="none"/>
        </w:rPr>
        <w:t xml:space="preserve"> 三刺激值</w:t>
      </w:r>
      <w:r>
        <w:rPr>
          <w:rFonts w:hint="eastAsia"/>
          <w:i/>
          <w:iCs/>
          <w:highlight w:val="none"/>
        </w:rPr>
        <w:t>Y</w:t>
      </w:r>
      <w:r>
        <w:rPr>
          <w:rFonts w:hint="eastAsia"/>
          <w:highlight w:val="none"/>
        </w:rPr>
        <w:t>；</w:t>
      </w:r>
    </w:p>
    <w:p w14:paraId="5FA82242">
      <w:pPr>
        <w:ind w:firstLine="1440" w:firstLineChars="600"/>
        <w:rPr>
          <w:highlight w:val="none"/>
        </w:rPr>
      </w:pPr>
      <w:r>
        <w:rPr>
          <w:i/>
          <w:iCs/>
          <w:highlight w:val="none"/>
        </w:rPr>
        <w:t>u, v</w:t>
      </w:r>
      <w:r>
        <w:rPr>
          <w:rFonts w:hint="eastAsia"/>
          <w:highlight w:val="none"/>
        </w:rPr>
        <w:t>——试验色样的</w:t>
      </w:r>
      <w:r>
        <w:rPr>
          <w:rFonts w:hint="eastAsia"/>
          <w:i/>
          <w:iCs/>
          <w:highlight w:val="none"/>
        </w:rPr>
        <w:t>uv</w:t>
      </w:r>
      <w:r>
        <w:rPr>
          <w:rFonts w:hint="eastAsia"/>
          <w:highlight w:val="none"/>
        </w:rPr>
        <w:t>坐标值；</w:t>
      </w:r>
    </w:p>
    <w:p w14:paraId="47311F55">
      <w:pPr>
        <w:ind w:firstLine="1200" w:firstLineChars="500"/>
        <w:rPr>
          <w:highlight w:val="none"/>
        </w:rPr>
      </w:pPr>
      <m:oMath>
        <m:sSub>
          <m:sSubPr>
            <m:ctrlPr>
              <w:rPr>
                <w:rFonts w:ascii="Cambria Math" w:hAnsi="Cambria Math"/>
                <w:highlight w:val="none"/>
              </w:rPr>
            </m:ctrlPr>
          </m:sSubPr>
          <m:e>
            <m:r>
              <m:rPr/>
              <w:rPr>
                <w:rFonts w:ascii="Cambria Math" w:hAnsi="Cambria Math"/>
                <w:highlight w:val="none"/>
              </w:rPr>
              <m:t>u</m:t>
            </m:r>
            <m:ctrlPr>
              <w:rPr>
                <w:rFonts w:ascii="Cambria Math" w:hAnsi="Cambria Math"/>
                <w:highlight w:val="none"/>
              </w:rPr>
            </m:ctrlPr>
          </m:e>
          <m:sub>
            <m:r>
              <m:rPr/>
              <w:rPr>
                <w:rFonts w:ascii="Cambria Math" w:hAnsi="Cambria Math"/>
                <w:highlight w:val="none"/>
              </w:rPr>
              <m:t>0</m:t>
            </m:r>
            <m:ctrlPr>
              <w:rPr>
                <w:rFonts w:ascii="Cambria Math" w:hAnsi="Cambria Math"/>
                <w:highlight w:val="none"/>
              </w:rPr>
            </m:ctrlPr>
          </m:sub>
        </m:sSub>
      </m:oMath>
      <w:r>
        <w:rPr>
          <w:highlight w:val="none"/>
        </w:rPr>
        <w:t xml:space="preserve">, </w:t>
      </w:r>
      <m:oMath>
        <m:sSub>
          <m:sSubPr>
            <m:ctrlPr>
              <w:rPr>
                <w:rFonts w:ascii="Cambria Math" w:hAnsi="Cambria Math"/>
                <w:highlight w:val="none"/>
              </w:rPr>
            </m:ctrlPr>
          </m:sSubPr>
          <m:e>
            <m:r>
              <m:rPr/>
              <w:rPr>
                <w:rFonts w:ascii="Cambria Math" w:hAnsi="Cambria Math"/>
                <w:highlight w:val="none"/>
              </w:rPr>
              <m:t>v</m:t>
            </m:r>
            <m:ctrlPr>
              <w:rPr>
                <w:rFonts w:ascii="Cambria Math" w:hAnsi="Cambria Math"/>
                <w:highlight w:val="none"/>
              </w:rPr>
            </m:ctrlPr>
          </m:e>
          <m:sub>
            <m:r>
              <m:rPr/>
              <w:rPr>
                <w:rFonts w:ascii="Cambria Math" w:hAnsi="Cambria Math"/>
                <w:highlight w:val="none"/>
              </w:rPr>
              <m:t>0</m:t>
            </m:r>
            <m:ctrlPr>
              <w:rPr>
                <w:rFonts w:ascii="Cambria Math" w:hAnsi="Cambria Math"/>
                <w:highlight w:val="none"/>
              </w:rPr>
            </m:ctrlPr>
          </m:sub>
        </m:sSub>
      </m:oMath>
      <w:r>
        <w:rPr>
          <w:rFonts w:hint="eastAsia"/>
          <w:highlight w:val="none"/>
        </w:rPr>
        <w:t>——照明光源的</w:t>
      </w:r>
      <w:r>
        <w:rPr>
          <w:rFonts w:hint="eastAsia"/>
          <w:i/>
          <w:iCs/>
          <w:highlight w:val="none"/>
        </w:rPr>
        <w:t>uv</w:t>
      </w:r>
      <w:r>
        <w:rPr>
          <w:rFonts w:hint="eastAsia"/>
          <w:highlight w:val="none"/>
        </w:rPr>
        <w:t>坐标值；</w:t>
      </w:r>
    </w:p>
    <w:p w14:paraId="3790FAB7">
      <w:pPr>
        <w:rPr>
          <w:highlight w:val="none"/>
        </w:rPr>
      </w:pPr>
      <w:r>
        <w:rPr>
          <w:highlight w:val="none"/>
        </w:rPr>
        <w:t>D</w:t>
      </w:r>
      <w:r>
        <w:rPr>
          <w:rFonts w:hint="eastAsia"/>
          <w:highlight w:val="none"/>
        </w:rPr>
        <w:t>6</w:t>
      </w:r>
      <w:r>
        <w:rPr>
          <w:highlight w:val="none"/>
        </w:rPr>
        <w:t xml:space="preserve"> </w:t>
      </w:r>
      <w:r>
        <w:rPr>
          <w:rFonts w:ascii="宋体" w:hAnsi="宋体" w:eastAsia="宋体"/>
          <w:color w:val="000000"/>
          <w:highlight w:val="none"/>
        </w:rPr>
        <w:t>总和色度位移</w:t>
      </w:r>
      <w:r>
        <w:rPr>
          <w:rFonts w:hint="eastAsia"/>
          <w:highlight w:val="none"/>
        </w:rPr>
        <w:t>计算</w:t>
      </w:r>
    </w:p>
    <w:p w14:paraId="208DCA18">
      <w:pPr>
        <w:ind w:firstLine="480" w:firstLineChars="200"/>
        <w:rPr>
          <w:highlight w:val="none"/>
        </w:rPr>
      </w:pPr>
      <w:r>
        <w:rPr>
          <w:rFonts w:hint="eastAsia"/>
          <w:highlight w:val="none"/>
        </w:rPr>
        <w:t>在待测灯照射下和在参比施照体照射下，试验色样</w:t>
      </w:r>
      <w:r>
        <w:rPr>
          <w:rFonts w:hint="eastAsia"/>
          <w:i/>
          <w:iCs/>
          <w:highlight w:val="none"/>
        </w:rPr>
        <w:t>i</w:t>
      </w:r>
      <w:r>
        <w:rPr>
          <w:rFonts w:hint="eastAsia"/>
          <w:highlight w:val="none"/>
        </w:rPr>
        <w:t>的</w:t>
      </w:r>
      <w:r>
        <w:rPr>
          <w:rFonts w:ascii="宋体" w:hAnsi="宋体" w:eastAsia="宋体"/>
          <w:color w:val="000000"/>
          <w:highlight w:val="none"/>
        </w:rPr>
        <w:t>总和色度位移</w:t>
      </w:r>
      <w:r>
        <w:rPr>
          <w:highlight w:val="none"/>
        </w:rPr>
        <w:t xml:space="preserve"> </w:t>
      </w:r>
      <m:oMath>
        <m:r>
          <m:rPr/>
          <w:rPr>
            <w:rFonts w:ascii="Cambria Math" w:hAnsi="Cambria Math"/>
            <w:highlight w:val="none"/>
          </w:rPr>
          <m:t>∆</m:t>
        </m:r>
        <m:sSub>
          <m:sSubPr>
            <m:ctrlPr>
              <w:rPr>
                <w:rFonts w:ascii="Cambria Math" w:hAnsi="Cambria Math"/>
                <w:i/>
                <w:highlight w:val="none"/>
              </w:rPr>
            </m:ctrlPr>
          </m:sSubPr>
          <m:e>
            <m:r>
              <m:rPr/>
              <w:rPr>
                <w:rFonts w:ascii="Cambria Math" w:hAnsi="Cambria Math"/>
                <w:highlight w:val="none"/>
              </w:rPr>
              <m:t>E</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oMath>
      <w:r>
        <w:rPr>
          <w:rFonts w:hint="eastAsia"/>
          <w:highlight w:val="none"/>
        </w:rPr>
        <w:t>为：</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4110"/>
        <w:gridCol w:w="1985"/>
      </w:tblGrid>
      <w:tr w14:paraId="03445D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7" w:type="dxa"/>
            <w:vAlign w:val="center"/>
          </w:tcPr>
          <w:p w14:paraId="0E035D4E">
            <w:pPr>
              <w:jc w:val="left"/>
              <w:rPr>
                <w:highlight w:val="none"/>
              </w:rPr>
            </w:pPr>
          </w:p>
        </w:tc>
        <w:tc>
          <w:tcPr>
            <w:tcW w:w="4110" w:type="dxa"/>
            <w:vAlign w:val="center"/>
          </w:tcPr>
          <w:p w14:paraId="73C7398C">
            <w:pPr>
              <w:ind w:leftChars="-2" w:hanging="4" w:hangingChars="2"/>
              <w:jc w:val="center"/>
              <w:rPr>
                <w:highlight w:val="none"/>
              </w:rPr>
            </w:pPr>
            <m:oMathPara>
              <m:oMath>
                <m:eqArr>
                  <m:eqArrPr>
                    <m:ctrlPr>
                      <w:rPr>
                        <w:rFonts w:ascii="Cambria Math" w:hAnsi="Cambria Math"/>
                        <w:highlight w:val="none"/>
                      </w:rPr>
                    </m:ctrlPr>
                  </m:eqArrPr>
                  <m:e>
                    <m:r>
                      <m:rPr>
                        <m:sty m:val="p"/>
                      </m:rPr>
                      <w:rPr>
                        <w:rFonts w:ascii="Cambria Math" w:hAnsi="Cambria Math"/>
                        <w:highlight w:val="none"/>
                      </w:rPr>
                      <m:t>Δ</m:t>
                    </m:r>
                    <m:sSub>
                      <m:sSubPr>
                        <m:ctrlPr>
                          <w:rPr>
                            <w:rFonts w:ascii="Cambria Math" w:hAnsi="Cambria Math"/>
                            <w:highlight w:val="none"/>
                          </w:rPr>
                        </m:ctrlPr>
                      </m:sSubPr>
                      <m:e>
                        <m:r>
                          <m:rPr/>
                          <w:rPr>
                            <w:rFonts w:ascii="Cambria Math" w:hAnsi="Cambria Math"/>
                            <w:highlight w:val="none"/>
                          </w:rPr>
                          <m:t>E</m:t>
                        </m:r>
                        <m:ctrlPr>
                          <w:rPr>
                            <w:rFonts w:ascii="Cambria Math" w:hAnsi="Cambria Math"/>
                            <w:highlight w:val="none"/>
                          </w:rPr>
                        </m:ctrlPr>
                      </m:e>
                      <m:sub>
                        <m:r>
                          <m:rPr/>
                          <w:rPr>
                            <w:rFonts w:ascii="Cambria Math" w:hAnsi="Cambria Math"/>
                            <w:highlight w:val="none"/>
                          </w:rPr>
                          <m:t>i</m:t>
                        </m:r>
                        <m:ctrlPr>
                          <w:rPr>
                            <w:rFonts w:ascii="Cambria Math" w:hAnsi="Cambria Math"/>
                            <w:highlight w:val="none"/>
                          </w:rPr>
                        </m:ctrlPr>
                      </m:sub>
                    </m:sSub>
                    <m:r>
                      <m:rPr/>
                      <w:rPr>
                        <w:rFonts w:ascii="Cambria Math" w:hAnsi="Cambria Math"/>
                        <w:highlight w:val="none"/>
                      </w:rPr>
                      <m:t>&amp;=</m:t>
                    </m:r>
                    <m:sSup>
                      <m:sSupPr>
                        <m:ctrlPr>
                          <w:rPr>
                            <w:rFonts w:ascii="Cambria Math" w:hAnsi="Cambria Math"/>
                            <w:highlight w:val="none"/>
                          </w:rPr>
                        </m:ctrlPr>
                      </m:sSupPr>
                      <m:e>
                        <m:d>
                          <m:dPr>
                            <m:ctrlPr>
                              <w:rPr>
                                <w:rFonts w:ascii="Cambria Math" w:hAnsi="Cambria Math"/>
                                <w:highlight w:val="none"/>
                              </w:rPr>
                            </m:ctrlPr>
                          </m:dPr>
                          <m:e>
                            <m:sSup>
                              <m:sSupPr>
                                <m:ctrlPr>
                                  <w:rPr>
                                    <w:rFonts w:ascii="Cambria Math" w:hAnsi="Cambria Math"/>
                                    <w:highlight w:val="none"/>
                                  </w:rPr>
                                </m:ctrlPr>
                              </m:sSupPr>
                              <m:e>
                                <m:d>
                                  <m:dPr>
                                    <m:ctrlPr>
                                      <w:rPr>
                                        <w:rFonts w:ascii="Cambria Math" w:hAnsi="Cambria Math"/>
                                        <w:highlight w:val="none"/>
                                      </w:rPr>
                                    </m:ctrlPr>
                                  </m:dPr>
                                  <m:e>
                                    <m:sSubSup>
                                      <m:sSubSupPr>
                                        <m:ctrlPr>
                                          <w:rPr>
                                            <w:rFonts w:ascii="Cambria Math" w:hAnsi="Cambria Math"/>
                                            <w:highlight w:val="none"/>
                                          </w:rPr>
                                        </m:ctrlPr>
                                      </m:sSubSupPr>
                                      <m:e>
                                        <m:r>
                                          <m:rPr/>
                                          <w:rPr>
                                            <w:rFonts w:ascii="Cambria Math" w:hAnsi="Cambria Math"/>
                                            <w:highlight w:val="none"/>
                                          </w:rPr>
                                          <m:t>W</m:t>
                                        </m:r>
                                        <m:ctrlPr>
                                          <w:rPr>
                                            <w:rFonts w:ascii="Cambria Math" w:hAnsi="Cambria Math"/>
                                            <w:highlight w:val="none"/>
                                          </w:rPr>
                                        </m:ctrlPr>
                                      </m:e>
                                      <m:sub>
                                        <m:r>
                                          <m:rPr/>
                                          <w:rPr>
                                            <w:rFonts w:ascii="Cambria Math" w:hAnsi="Cambria Math"/>
                                            <w:highlight w:val="none"/>
                                          </w:rPr>
                                          <m:t>r,i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r>
                                      <m:rPr/>
                                      <w:rPr>
                                        <w:rFonts w:ascii="Cambria Math" w:hAnsi="Cambria Math"/>
                                        <w:highlight w:val="none"/>
                                      </w:rPr>
                                      <m:t>−</m:t>
                                    </m:r>
                                    <m:sSubSup>
                                      <m:sSubSupPr>
                                        <m:ctrlPr>
                                          <w:rPr>
                                            <w:rFonts w:ascii="Cambria Math" w:hAnsi="Cambria Math"/>
                                            <w:highlight w:val="none"/>
                                          </w:rPr>
                                        </m:ctrlPr>
                                      </m:sSubSupPr>
                                      <m:e>
                                        <m:r>
                                          <m:rPr/>
                                          <w:rPr>
                                            <w:rFonts w:ascii="Cambria Math" w:hAnsi="Cambria Math"/>
                                            <w:highlight w:val="none"/>
                                          </w:rPr>
                                          <m:t>W</m:t>
                                        </m:r>
                                        <m:ctrlPr>
                                          <w:rPr>
                                            <w:rFonts w:ascii="Cambria Math" w:hAnsi="Cambria Math"/>
                                            <w:highlight w:val="none"/>
                                          </w:rPr>
                                        </m:ctrlPr>
                                      </m:e>
                                      <m:sub>
                                        <m:r>
                                          <m:rPr/>
                                          <w:rPr>
                                            <w:rFonts w:ascii="Cambria Math" w:hAnsi="Cambria Math"/>
                                            <w:highlight w:val="none"/>
                                          </w:rPr>
                                          <m:t>k,i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ctrlPr>
                                      <w:rPr>
                                        <w:rFonts w:ascii="Cambria Math" w:hAnsi="Cambria Math"/>
                                        <w:highlight w:val="none"/>
                                      </w:rPr>
                                    </m:ctrlPr>
                                  </m:e>
                                </m:d>
                                <m:ctrlPr>
                                  <w:rPr>
                                    <w:rFonts w:ascii="Cambria Math" w:hAnsi="Cambria Math"/>
                                    <w:highlight w:val="none"/>
                                  </w:rPr>
                                </m:ctrlPr>
                              </m:e>
                              <m:sup>
                                <m:r>
                                  <m:rPr/>
                                  <w:rPr>
                                    <w:rFonts w:ascii="Cambria Math" w:hAnsi="Cambria Math"/>
                                    <w:highlight w:val="none"/>
                                  </w:rPr>
                                  <m:t>2</m:t>
                                </m:r>
                                <m:ctrlPr>
                                  <w:rPr>
                                    <w:rFonts w:ascii="Cambria Math" w:hAnsi="Cambria Math"/>
                                    <w:highlight w:val="none"/>
                                  </w:rPr>
                                </m:ctrlPr>
                              </m:sup>
                            </m:sSup>
                            <m:r>
                              <m:rPr/>
                              <w:rPr>
                                <w:rFonts w:ascii="Cambria Math" w:hAnsi="Cambria Math"/>
                                <w:highlight w:val="none"/>
                              </w:rPr>
                              <m:t>+</m:t>
                            </m:r>
                            <m:sSup>
                              <m:sSupPr>
                                <m:ctrlPr>
                                  <w:rPr>
                                    <w:rFonts w:ascii="Cambria Math" w:hAnsi="Cambria Math"/>
                                    <w:highlight w:val="none"/>
                                  </w:rPr>
                                </m:ctrlPr>
                              </m:sSupPr>
                              <m:e>
                                <m:d>
                                  <m:dPr>
                                    <m:ctrlPr>
                                      <w:rPr>
                                        <w:rFonts w:ascii="Cambria Math" w:hAnsi="Cambria Math"/>
                                        <w:highlight w:val="none"/>
                                      </w:rPr>
                                    </m:ctrlPr>
                                  </m:dPr>
                                  <m:e>
                                    <m:sSubSup>
                                      <m:sSubSupPr>
                                        <m:ctrlPr>
                                          <w:rPr>
                                            <w:rFonts w:ascii="Cambria Math" w:hAnsi="Cambria Math"/>
                                            <w:highlight w:val="none"/>
                                          </w:rPr>
                                        </m:ctrlPr>
                                      </m:sSubSupPr>
                                      <m:e>
                                        <m:r>
                                          <m:rPr/>
                                          <w:rPr>
                                            <w:rFonts w:ascii="Cambria Math" w:hAnsi="Cambria Math"/>
                                            <w:highlight w:val="none"/>
                                          </w:rPr>
                                          <m:t>U</m:t>
                                        </m:r>
                                        <m:ctrlPr>
                                          <w:rPr>
                                            <w:rFonts w:ascii="Cambria Math" w:hAnsi="Cambria Math"/>
                                            <w:highlight w:val="none"/>
                                          </w:rPr>
                                        </m:ctrlPr>
                                      </m:e>
                                      <m:sub>
                                        <m:r>
                                          <m:rPr/>
                                          <w:rPr>
                                            <w:rFonts w:ascii="Cambria Math" w:hAnsi="Cambria Math"/>
                                            <w:highlight w:val="none"/>
                                          </w:rPr>
                                          <m:t>r,i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r>
                                      <m:rPr/>
                                      <w:rPr>
                                        <w:rFonts w:ascii="Cambria Math" w:hAnsi="Cambria Math"/>
                                        <w:highlight w:val="none"/>
                                      </w:rPr>
                                      <m:t>−</m:t>
                                    </m:r>
                                    <m:sSubSup>
                                      <m:sSubSupPr>
                                        <m:ctrlPr>
                                          <w:rPr>
                                            <w:rFonts w:ascii="Cambria Math" w:hAnsi="Cambria Math"/>
                                            <w:highlight w:val="none"/>
                                          </w:rPr>
                                        </m:ctrlPr>
                                      </m:sSubSupPr>
                                      <m:e>
                                        <m:r>
                                          <m:rPr/>
                                          <w:rPr>
                                            <w:rFonts w:ascii="Cambria Math" w:hAnsi="Cambria Math"/>
                                            <w:highlight w:val="none"/>
                                          </w:rPr>
                                          <m:t>U</m:t>
                                        </m:r>
                                        <m:ctrlPr>
                                          <w:rPr>
                                            <w:rFonts w:ascii="Cambria Math" w:hAnsi="Cambria Math"/>
                                            <w:highlight w:val="none"/>
                                          </w:rPr>
                                        </m:ctrlPr>
                                      </m:e>
                                      <m:sub>
                                        <m:r>
                                          <m:rPr/>
                                          <w:rPr>
                                            <w:rFonts w:ascii="Cambria Math" w:hAnsi="Cambria Math"/>
                                            <w:highlight w:val="none"/>
                                          </w:rPr>
                                          <m:t>k,i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ctrlPr>
                                      <w:rPr>
                                        <w:rFonts w:ascii="Cambria Math" w:hAnsi="Cambria Math"/>
                                        <w:highlight w:val="none"/>
                                      </w:rPr>
                                    </m:ctrlPr>
                                  </m:e>
                                </m:d>
                                <m:ctrlPr>
                                  <w:rPr>
                                    <w:rFonts w:ascii="Cambria Math" w:hAnsi="Cambria Math"/>
                                    <w:highlight w:val="none"/>
                                  </w:rPr>
                                </m:ctrlPr>
                              </m:e>
                              <m:sup>
                                <m:r>
                                  <m:rPr/>
                                  <w:rPr>
                                    <w:rFonts w:ascii="Cambria Math" w:hAnsi="Cambria Math"/>
                                    <w:highlight w:val="none"/>
                                  </w:rPr>
                                  <m:t>2</m:t>
                                </m:r>
                                <m:ctrlPr>
                                  <w:rPr>
                                    <w:rFonts w:ascii="Cambria Math" w:hAnsi="Cambria Math"/>
                                    <w:highlight w:val="none"/>
                                  </w:rPr>
                                </m:ctrlPr>
                              </m:sup>
                            </m:sSup>
                            <m:r>
                              <m:rPr/>
                              <w:rPr>
                                <w:rFonts w:ascii="Cambria Math" w:hAnsi="Cambria Math"/>
                                <w:highlight w:val="none"/>
                              </w:rPr>
                              <m:t>+</m:t>
                            </m:r>
                            <m:sSup>
                              <m:sSupPr>
                                <m:ctrlPr>
                                  <w:rPr>
                                    <w:rFonts w:ascii="Cambria Math" w:hAnsi="Cambria Math"/>
                                    <w:highlight w:val="none"/>
                                  </w:rPr>
                                </m:ctrlPr>
                              </m:sSupPr>
                              <m:e>
                                <m:d>
                                  <m:dPr>
                                    <m:ctrlPr>
                                      <w:rPr>
                                        <w:rFonts w:ascii="Cambria Math" w:hAnsi="Cambria Math"/>
                                        <w:highlight w:val="none"/>
                                      </w:rPr>
                                    </m:ctrlPr>
                                  </m:dPr>
                                  <m:e>
                                    <m:sSubSup>
                                      <m:sSubSupPr>
                                        <m:ctrlPr>
                                          <w:rPr>
                                            <w:rFonts w:ascii="Cambria Math" w:hAnsi="Cambria Math"/>
                                            <w:highlight w:val="none"/>
                                          </w:rPr>
                                        </m:ctrlPr>
                                      </m:sSubSupPr>
                                      <m:e>
                                        <m:r>
                                          <m:rPr/>
                                          <w:rPr>
                                            <w:rFonts w:ascii="Cambria Math" w:hAnsi="Cambria Math"/>
                                            <w:highlight w:val="none"/>
                                          </w:rPr>
                                          <m:t>V</m:t>
                                        </m:r>
                                        <m:ctrlPr>
                                          <w:rPr>
                                            <w:rFonts w:ascii="Cambria Math" w:hAnsi="Cambria Math"/>
                                            <w:highlight w:val="none"/>
                                          </w:rPr>
                                        </m:ctrlPr>
                                      </m:e>
                                      <m:sub>
                                        <m:r>
                                          <m:rPr/>
                                          <w:rPr>
                                            <w:rFonts w:ascii="Cambria Math" w:hAnsi="Cambria Math"/>
                                            <w:highlight w:val="none"/>
                                          </w:rPr>
                                          <m:t>r,i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r>
                                      <m:rPr/>
                                      <w:rPr>
                                        <w:rFonts w:ascii="Cambria Math" w:hAnsi="Cambria Math"/>
                                        <w:highlight w:val="none"/>
                                      </w:rPr>
                                      <m:t>−</m:t>
                                    </m:r>
                                    <m:sSubSup>
                                      <m:sSubSupPr>
                                        <m:ctrlPr>
                                          <w:rPr>
                                            <w:rFonts w:ascii="Cambria Math" w:hAnsi="Cambria Math"/>
                                            <w:highlight w:val="none"/>
                                          </w:rPr>
                                        </m:ctrlPr>
                                      </m:sSubSupPr>
                                      <m:e>
                                        <m:r>
                                          <m:rPr/>
                                          <w:rPr>
                                            <w:rFonts w:ascii="Cambria Math" w:hAnsi="Cambria Math"/>
                                            <w:highlight w:val="none"/>
                                          </w:rPr>
                                          <m:t>V</m:t>
                                        </m:r>
                                        <m:ctrlPr>
                                          <w:rPr>
                                            <w:rFonts w:ascii="Cambria Math" w:hAnsi="Cambria Math"/>
                                            <w:highlight w:val="none"/>
                                          </w:rPr>
                                        </m:ctrlPr>
                                      </m:e>
                                      <m:sub>
                                        <m:r>
                                          <m:rPr/>
                                          <w:rPr>
                                            <w:rFonts w:ascii="Cambria Math" w:hAnsi="Cambria Math"/>
                                            <w:highlight w:val="none"/>
                                          </w:rPr>
                                          <m:t>k,i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ctrlPr>
                                      <w:rPr>
                                        <w:rFonts w:ascii="Cambria Math" w:hAnsi="Cambria Math"/>
                                        <w:highlight w:val="none"/>
                                      </w:rPr>
                                    </m:ctrlPr>
                                  </m:e>
                                </m:d>
                                <m:ctrlPr>
                                  <w:rPr>
                                    <w:rFonts w:ascii="Cambria Math" w:hAnsi="Cambria Math"/>
                                    <w:highlight w:val="none"/>
                                  </w:rPr>
                                </m:ctrlPr>
                              </m:e>
                              <m:sup>
                                <m:r>
                                  <m:rPr/>
                                  <w:rPr>
                                    <w:rFonts w:ascii="Cambria Math" w:hAnsi="Cambria Math"/>
                                    <w:highlight w:val="none"/>
                                  </w:rPr>
                                  <m:t>2</m:t>
                                </m:r>
                                <m:ctrlPr>
                                  <w:rPr>
                                    <w:rFonts w:ascii="Cambria Math" w:hAnsi="Cambria Math"/>
                                    <w:highlight w:val="none"/>
                                  </w:rPr>
                                </m:ctrlPr>
                              </m:sup>
                            </m:sSup>
                            <m:ctrlPr>
                              <w:rPr>
                                <w:rFonts w:ascii="Cambria Math" w:hAnsi="Cambria Math"/>
                                <w:highlight w:val="none"/>
                              </w:rPr>
                            </m:ctrlPr>
                          </m:e>
                        </m:d>
                        <m:ctrlPr>
                          <w:rPr>
                            <w:rFonts w:ascii="Cambria Math" w:hAnsi="Cambria Math"/>
                            <w:highlight w:val="none"/>
                          </w:rPr>
                        </m:ctrlPr>
                      </m:e>
                      <m:sup>
                        <m:f>
                          <m:fPr>
                            <m:ctrlPr>
                              <w:rPr>
                                <w:rFonts w:ascii="Cambria Math" w:hAnsi="Cambria Math"/>
                                <w:highlight w:val="none"/>
                              </w:rPr>
                            </m:ctrlPr>
                          </m:fPr>
                          <m:num>
                            <m:r>
                              <m:rPr/>
                              <w:rPr>
                                <w:rFonts w:ascii="Cambria Math" w:hAnsi="Cambria Math"/>
                                <w:highlight w:val="none"/>
                              </w:rPr>
                              <m:t>1</m:t>
                            </m:r>
                            <m:ctrlPr>
                              <w:rPr>
                                <w:rFonts w:ascii="Cambria Math" w:hAnsi="Cambria Math"/>
                                <w:highlight w:val="none"/>
                              </w:rPr>
                            </m:ctrlPr>
                          </m:num>
                          <m:den>
                            <m:r>
                              <m:rPr/>
                              <w:rPr>
                                <w:rFonts w:ascii="Cambria Math" w:hAnsi="Cambria Math"/>
                                <w:highlight w:val="none"/>
                              </w:rPr>
                              <m:t>2</m:t>
                            </m:r>
                            <m:ctrlPr>
                              <w:rPr>
                                <w:rFonts w:ascii="Cambria Math" w:hAnsi="Cambria Math"/>
                                <w:highlight w:val="none"/>
                              </w:rPr>
                            </m:ctrlPr>
                          </m:den>
                        </m:f>
                        <m:ctrlPr>
                          <w:rPr>
                            <w:rFonts w:ascii="Cambria Math" w:hAnsi="Cambria Math"/>
                            <w:highlight w:val="none"/>
                          </w:rPr>
                        </m:ctrlPr>
                      </m:sup>
                    </m:sSup>
                    <m:ctrlPr>
                      <w:rPr>
                        <w:rFonts w:ascii="Cambria Math" w:hAnsi="Cambria Math"/>
                        <w:highlight w:val="none"/>
                      </w:rPr>
                    </m:ctrlPr>
                  </m:e>
                  <m:e>
                    <m:r>
                      <m:rPr/>
                      <w:rPr>
                        <w:rFonts w:ascii="Cambria Math" w:hAnsi="Cambria Math"/>
                        <w:highlight w:val="none"/>
                      </w:rPr>
                      <m:t>&amp;=</m:t>
                    </m:r>
                    <m:sSup>
                      <m:sSupPr>
                        <m:ctrlPr>
                          <w:rPr>
                            <w:rFonts w:ascii="Cambria Math" w:hAnsi="Cambria Math"/>
                            <w:highlight w:val="none"/>
                          </w:rPr>
                        </m:ctrlPr>
                      </m:sSupPr>
                      <m:e>
                        <m:d>
                          <m:dPr>
                            <m:ctrlPr>
                              <w:rPr>
                                <w:rFonts w:ascii="Cambria Math" w:hAnsi="Cambria Math"/>
                                <w:highlight w:val="none"/>
                              </w:rPr>
                            </m:ctrlPr>
                          </m:dPr>
                          <m:e>
                            <m:sSup>
                              <m:sSupPr>
                                <m:ctrlPr>
                                  <w:rPr>
                                    <w:rFonts w:ascii="Cambria Math" w:hAnsi="Cambria Math"/>
                                    <w:highlight w:val="none"/>
                                  </w:rPr>
                                </m:ctrlPr>
                              </m:sSupPr>
                              <m:e>
                                <m:d>
                                  <m:dPr>
                                    <m:ctrlPr>
                                      <w:rPr>
                                        <w:rFonts w:ascii="Cambria Math" w:hAnsi="Cambria Math"/>
                                        <w:highlight w:val="none"/>
                                      </w:rPr>
                                    </m:ctrlPr>
                                  </m:dPr>
                                  <m:e>
                                    <m:r>
                                      <m:rPr>
                                        <m:sty m:val="p"/>
                                      </m:rPr>
                                      <w:rPr>
                                        <w:rFonts w:ascii="Cambria Math" w:hAnsi="Cambria Math"/>
                                        <w:highlight w:val="none"/>
                                      </w:rPr>
                                      <m:t>Δ</m:t>
                                    </m:r>
                                    <m:sSubSup>
                                      <m:sSubSupPr>
                                        <m:ctrlPr>
                                          <w:rPr>
                                            <w:rFonts w:ascii="Cambria Math" w:hAnsi="Cambria Math"/>
                                            <w:highlight w:val="none"/>
                                          </w:rPr>
                                        </m:ctrlPr>
                                      </m:sSubSupPr>
                                      <m:e>
                                        <m:r>
                                          <m:rPr/>
                                          <w:rPr>
                                            <w:rFonts w:ascii="Cambria Math" w:hAnsi="Cambria Math"/>
                                            <w:highlight w:val="none"/>
                                          </w:rPr>
                                          <m:t>W</m:t>
                                        </m:r>
                                        <m:ctrlPr>
                                          <w:rPr>
                                            <w:rFonts w:ascii="Cambria Math" w:hAnsi="Cambria Math"/>
                                            <w:highlight w:val="none"/>
                                          </w:rPr>
                                        </m:ctrlPr>
                                      </m:e>
                                      <m:sub>
                                        <m:r>
                                          <m:rPr/>
                                          <w:rPr>
                                            <w:rFonts w:ascii="Cambria Math" w:hAnsi="Cambria Math"/>
                                            <w:highlight w:val="none"/>
                                          </w:rPr>
                                          <m:t>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ctrlPr>
                                      <w:rPr>
                                        <w:rFonts w:ascii="Cambria Math" w:hAnsi="Cambria Math"/>
                                        <w:highlight w:val="none"/>
                                      </w:rPr>
                                    </m:ctrlPr>
                                  </m:e>
                                </m:d>
                                <m:ctrlPr>
                                  <w:rPr>
                                    <w:rFonts w:ascii="Cambria Math" w:hAnsi="Cambria Math"/>
                                    <w:highlight w:val="none"/>
                                  </w:rPr>
                                </m:ctrlPr>
                              </m:e>
                              <m:sup>
                                <m:r>
                                  <m:rPr/>
                                  <w:rPr>
                                    <w:rFonts w:ascii="Cambria Math" w:hAnsi="Cambria Math"/>
                                    <w:highlight w:val="none"/>
                                  </w:rPr>
                                  <m:t>2</m:t>
                                </m:r>
                                <m:ctrlPr>
                                  <w:rPr>
                                    <w:rFonts w:ascii="Cambria Math" w:hAnsi="Cambria Math"/>
                                    <w:highlight w:val="none"/>
                                  </w:rPr>
                                </m:ctrlPr>
                              </m:sup>
                            </m:sSup>
                            <m:r>
                              <m:rPr/>
                              <w:rPr>
                                <w:rFonts w:ascii="Cambria Math" w:hAnsi="Cambria Math"/>
                                <w:highlight w:val="none"/>
                              </w:rPr>
                              <m:t>+</m:t>
                            </m:r>
                            <m:sSup>
                              <m:sSupPr>
                                <m:ctrlPr>
                                  <w:rPr>
                                    <w:rFonts w:ascii="Cambria Math" w:hAnsi="Cambria Math"/>
                                    <w:highlight w:val="none"/>
                                  </w:rPr>
                                </m:ctrlPr>
                              </m:sSupPr>
                              <m:e>
                                <m:d>
                                  <m:dPr>
                                    <m:ctrlPr>
                                      <w:rPr>
                                        <w:rFonts w:ascii="Cambria Math" w:hAnsi="Cambria Math"/>
                                        <w:highlight w:val="none"/>
                                      </w:rPr>
                                    </m:ctrlPr>
                                  </m:dPr>
                                  <m:e>
                                    <m:r>
                                      <m:rPr>
                                        <m:sty m:val="p"/>
                                      </m:rPr>
                                      <w:rPr>
                                        <w:rFonts w:ascii="Cambria Math" w:hAnsi="Cambria Math"/>
                                        <w:highlight w:val="none"/>
                                      </w:rPr>
                                      <m:t>Δ</m:t>
                                    </m:r>
                                    <m:sSubSup>
                                      <m:sSubSupPr>
                                        <m:ctrlPr>
                                          <w:rPr>
                                            <w:rFonts w:ascii="Cambria Math" w:hAnsi="Cambria Math"/>
                                            <w:highlight w:val="none"/>
                                          </w:rPr>
                                        </m:ctrlPr>
                                      </m:sSubSupPr>
                                      <m:e>
                                        <m:r>
                                          <m:rPr/>
                                          <w:rPr>
                                            <w:rFonts w:ascii="Cambria Math" w:hAnsi="Cambria Math"/>
                                            <w:highlight w:val="none"/>
                                          </w:rPr>
                                          <m:t>U</m:t>
                                        </m:r>
                                        <m:ctrlPr>
                                          <w:rPr>
                                            <w:rFonts w:ascii="Cambria Math" w:hAnsi="Cambria Math"/>
                                            <w:highlight w:val="none"/>
                                          </w:rPr>
                                        </m:ctrlPr>
                                      </m:e>
                                      <m:sub>
                                        <m:r>
                                          <m:rPr/>
                                          <w:rPr>
                                            <w:rFonts w:ascii="Cambria Math" w:hAnsi="Cambria Math"/>
                                            <w:highlight w:val="none"/>
                                          </w:rPr>
                                          <m:t>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ctrlPr>
                                      <w:rPr>
                                        <w:rFonts w:ascii="Cambria Math" w:hAnsi="Cambria Math"/>
                                        <w:highlight w:val="none"/>
                                      </w:rPr>
                                    </m:ctrlPr>
                                  </m:e>
                                </m:d>
                                <m:ctrlPr>
                                  <w:rPr>
                                    <w:rFonts w:ascii="Cambria Math" w:hAnsi="Cambria Math"/>
                                    <w:highlight w:val="none"/>
                                  </w:rPr>
                                </m:ctrlPr>
                              </m:e>
                              <m:sup>
                                <m:r>
                                  <m:rPr/>
                                  <w:rPr>
                                    <w:rFonts w:ascii="Cambria Math" w:hAnsi="Cambria Math"/>
                                    <w:highlight w:val="none"/>
                                  </w:rPr>
                                  <m:t>2</m:t>
                                </m:r>
                                <m:ctrlPr>
                                  <w:rPr>
                                    <w:rFonts w:ascii="Cambria Math" w:hAnsi="Cambria Math"/>
                                    <w:highlight w:val="none"/>
                                  </w:rPr>
                                </m:ctrlPr>
                              </m:sup>
                            </m:sSup>
                            <m:r>
                              <m:rPr/>
                              <w:rPr>
                                <w:rFonts w:ascii="Cambria Math" w:hAnsi="Cambria Math"/>
                                <w:highlight w:val="none"/>
                              </w:rPr>
                              <m:t>+</m:t>
                            </m:r>
                            <m:sSup>
                              <m:sSupPr>
                                <m:ctrlPr>
                                  <w:rPr>
                                    <w:rFonts w:ascii="Cambria Math" w:hAnsi="Cambria Math"/>
                                    <w:highlight w:val="none"/>
                                  </w:rPr>
                                </m:ctrlPr>
                              </m:sSupPr>
                              <m:e>
                                <m:d>
                                  <m:dPr>
                                    <m:ctrlPr>
                                      <w:rPr>
                                        <w:rFonts w:ascii="Cambria Math" w:hAnsi="Cambria Math"/>
                                        <w:highlight w:val="none"/>
                                      </w:rPr>
                                    </m:ctrlPr>
                                  </m:dPr>
                                  <m:e>
                                    <m:r>
                                      <m:rPr>
                                        <m:sty m:val="p"/>
                                      </m:rPr>
                                      <w:rPr>
                                        <w:rFonts w:ascii="Cambria Math" w:hAnsi="Cambria Math"/>
                                        <w:highlight w:val="none"/>
                                      </w:rPr>
                                      <m:t>Δ</m:t>
                                    </m:r>
                                    <m:sSubSup>
                                      <m:sSubSupPr>
                                        <m:ctrlPr>
                                          <w:rPr>
                                            <w:rFonts w:ascii="Cambria Math" w:hAnsi="Cambria Math"/>
                                            <w:highlight w:val="none"/>
                                          </w:rPr>
                                        </m:ctrlPr>
                                      </m:sSubSupPr>
                                      <m:e>
                                        <m:r>
                                          <m:rPr/>
                                          <w:rPr>
                                            <w:rFonts w:ascii="Cambria Math" w:hAnsi="Cambria Math"/>
                                            <w:highlight w:val="none"/>
                                          </w:rPr>
                                          <m:t>V</m:t>
                                        </m:r>
                                        <m:ctrlPr>
                                          <w:rPr>
                                            <w:rFonts w:ascii="Cambria Math" w:hAnsi="Cambria Math"/>
                                            <w:highlight w:val="none"/>
                                          </w:rPr>
                                        </m:ctrlPr>
                                      </m:e>
                                      <m:sub>
                                        <m:r>
                                          <m:rPr/>
                                          <w:rPr>
                                            <w:rFonts w:ascii="Cambria Math" w:hAnsi="Cambria Math"/>
                                            <w:highlight w:val="none"/>
                                          </w:rPr>
                                          <m:t>i</m:t>
                                        </m:r>
                                        <m:ctrlPr>
                                          <w:rPr>
                                            <w:rFonts w:ascii="Cambria Math" w:hAnsi="Cambria Math"/>
                                            <w:highlight w:val="none"/>
                                          </w:rPr>
                                        </m:ctrlPr>
                                      </m:sub>
                                      <m:sup>
                                        <m:r>
                                          <m:rPr/>
                                          <w:rPr>
                                            <w:rFonts w:ascii="Cambria Math" w:hAnsi="Cambria Math"/>
                                            <w:highlight w:val="none"/>
                                          </w:rPr>
                                          <m:t>∗</m:t>
                                        </m:r>
                                        <m:ctrlPr>
                                          <w:rPr>
                                            <w:rFonts w:ascii="Cambria Math" w:hAnsi="Cambria Math"/>
                                            <w:highlight w:val="none"/>
                                          </w:rPr>
                                        </m:ctrlPr>
                                      </m:sup>
                                    </m:sSubSup>
                                    <m:ctrlPr>
                                      <w:rPr>
                                        <w:rFonts w:ascii="Cambria Math" w:hAnsi="Cambria Math"/>
                                        <w:highlight w:val="none"/>
                                      </w:rPr>
                                    </m:ctrlPr>
                                  </m:e>
                                </m:d>
                                <m:ctrlPr>
                                  <w:rPr>
                                    <w:rFonts w:ascii="Cambria Math" w:hAnsi="Cambria Math"/>
                                    <w:highlight w:val="none"/>
                                  </w:rPr>
                                </m:ctrlPr>
                              </m:e>
                              <m:sup>
                                <m:r>
                                  <m:rPr/>
                                  <w:rPr>
                                    <w:rFonts w:ascii="Cambria Math" w:hAnsi="Cambria Math"/>
                                    <w:highlight w:val="none"/>
                                  </w:rPr>
                                  <m:t>2</m:t>
                                </m:r>
                                <m:ctrlPr>
                                  <w:rPr>
                                    <w:rFonts w:ascii="Cambria Math" w:hAnsi="Cambria Math"/>
                                    <w:highlight w:val="none"/>
                                  </w:rPr>
                                </m:ctrlPr>
                              </m:sup>
                            </m:sSup>
                            <m:ctrlPr>
                              <w:rPr>
                                <w:rFonts w:ascii="Cambria Math" w:hAnsi="Cambria Math"/>
                                <w:highlight w:val="none"/>
                              </w:rPr>
                            </m:ctrlPr>
                          </m:e>
                        </m:d>
                        <m:ctrlPr>
                          <w:rPr>
                            <w:rFonts w:ascii="Cambria Math" w:hAnsi="Cambria Math"/>
                            <w:highlight w:val="none"/>
                          </w:rPr>
                        </m:ctrlPr>
                      </m:e>
                      <m:sup>
                        <m:f>
                          <m:fPr>
                            <m:ctrlPr>
                              <w:rPr>
                                <w:rFonts w:ascii="Cambria Math" w:hAnsi="Cambria Math"/>
                                <w:highlight w:val="none"/>
                              </w:rPr>
                            </m:ctrlPr>
                          </m:fPr>
                          <m:num>
                            <m:r>
                              <m:rPr/>
                              <w:rPr>
                                <w:rFonts w:ascii="Cambria Math" w:hAnsi="Cambria Math"/>
                                <w:highlight w:val="none"/>
                              </w:rPr>
                              <m:t>1</m:t>
                            </m:r>
                            <m:ctrlPr>
                              <w:rPr>
                                <w:rFonts w:ascii="Cambria Math" w:hAnsi="Cambria Math"/>
                                <w:highlight w:val="none"/>
                              </w:rPr>
                            </m:ctrlPr>
                          </m:num>
                          <m:den>
                            <m:r>
                              <m:rPr/>
                              <w:rPr>
                                <w:rFonts w:ascii="Cambria Math" w:hAnsi="Cambria Math"/>
                                <w:highlight w:val="none"/>
                              </w:rPr>
                              <m:t>2</m:t>
                            </m:r>
                            <m:ctrlPr>
                              <w:rPr>
                                <w:rFonts w:ascii="Cambria Math" w:hAnsi="Cambria Math"/>
                                <w:highlight w:val="none"/>
                              </w:rPr>
                            </m:ctrlPr>
                          </m:den>
                        </m:f>
                        <m:ctrlPr>
                          <w:rPr>
                            <w:rFonts w:ascii="Cambria Math" w:hAnsi="Cambria Math"/>
                            <w:highlight w:val="none"/>
                          </w:rPr>
                        </m:ctrlPr>
                      </m:sup>
                    </m:sSup>
                    <m:ctrlPr>
                      <w:rPr>
                        <w:rFonts w:ascii="Cambria Math" w:hAnsi="Cambria Math"/>
                        <w:highlight w:val="none"/>
                      </w:rPr>
                    </m:ctrlPr>
                  </m:e>
                </m:eqArr>
              </m:oMath>
            </m:oMathPara>
          </w:p>
        </w:tc>
        <w:tc>
          <w:tcPr>
            <w:tcW w:w="1985" w:type="dxa"/>
            <w:vAlign w:val="center"/>
          </w:tcPr>
          <w:p w14:paraId="3CF7A366">
            <w:pPr>
              <w:ind w:firstLine="480"/>
              <w:jc w:val="right"/>
              <w:rPr>
                <w:highlight w:val="none"/>
              </w:rPr>
            </w:pPr>
            <w:r>
              <w:rPr>
                <w:highlight w:val="none"/>
              </w:rPr>
              <w:t>(C.5)</w:t>
            </w:r>
          </w:p>
        </w:tc>
      </w:tr>
    </w:tbl>
    <w:p w14:paraId="421DD864">
      <w:pPr>
        <w:rPr>
          <w:highlight w:val="none"/>
        </w:rPr>
      </w:pPr>
      <w:r>
        <w:rPr>
          <w:highlight w:val="none"/>
        </w:rPr>
        <w:t>D</w:t>
      </w:r>
      <w:r>
        <w:rPr>
          <w:rFonts w:hint="eastAsia"/>
          <w:highlight w:val="none"/>
        </w:rPr>
        <w:t>7</w:t>
      </w:r>
      <w:r>
        <w:rPr>
          <w:highlight w:val="none"/>
        </w:rPr>
        <w:t xml:space="preserve"> </w:t>
      </w:r>
      <w:r>
        <w:rPr>
          <w:rFonts w:hint="eastAsia"/>
          <w:highlight w:val="none"/>
        </w:rPr>
        <w:t>显色指数计算</w:t>
      </w:r>
    </w:p>
    <w:p w14:paraId="2FCE4127">
      <w:pPr>
        <w:ind w:firstLine="480" w:firstLineChars="200"/>
        <w:rPr>
          <w:highlight w:val="none"/>
        </w:rPr>
      </w:pPr>
      <w:r>
        <w:rPr>
          <w:rFonts w:hint="eastAsia"/>
          <w:highlight w:val="none"/>
        </w:rPr>
        <w:t>特殊显色指数</w:t>
      </w:r>
      <w:r>
        <w:rPr>
          <w:rFonts w:hint="eastAsia"/>
          <w:i/>
          <w:iCs/>
          <w:highlight w:val="none"/>
        </w:rPr>
        <w:t>R</w:t>
      </w:r>
      <w:r>
        <w:rPr>
          <w:rFonts w:hint="eastAsia"/>
          <w:i/>
          <w:iCs/>
          <w:highlight w:val="none"/>
          <w:vertAlign w:val="subscript"/>
        </w:rPr>
        <w:t>i</w:t>
      </w:r>
      <w:r>
        <w:rPr>
          <w:rFonts w:hint="eastAsia"/>
          <w:highlight w:val="none"/>
        </w:rPr>
        <w:t>：</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4110"/>
        <w:gridCol w:w="1985"/>
      </w:tblGrid>
      <w:tr w14:paraId="46669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7" w:type="dxa"/>
            <w:vAlign w:val="center"/>
          </w:tcPr>
          <w:p w14:paraId="7B37C071">
            <w:pPr>
              <w:jc w:val="left"/>
              <w:rPr>
                <w:highlight w:val="none"/>
              </w:rPr>
            </w:pPr>
          </w:p>
        </w:tc>
        <w:tc>
          <w:tcPr>
            <w:tcW w:w="4110" w:type="dxa"/>
            <w:vAlign w:val="center"/>
          </w:tcPr>
          <w:p w14:paraId="24DEAC7C">
            <w:pPr>
              <w:ind w:leftChars="-2" w:hanging="4" w:hangingChars="2"/>
              <w:jc w:val="center"/>
              <w:rPr>
                <w:highlight w:val="none"/>
              </w:rPr>
            </w:pPr>
            <m:oMathPara>
              <m:oMath>
                <m:sSub>
                  <m:sSubPr>
                    <m:ctrlPr>
                      <w:rPr>
                        <w:rFonts w:ascii="Cambria Math" w:hAnsi="Cambria Math"/>
                        <w:i/>
                        <w:highlight w:val="none"/>
                      </w:rPr>
                    </m:ctrlPr>
                  </m:sSubPr>
                  <m:e>
                    <m:r>
                      <m:rPr/>
                      <w:rPr>
                        <w:rFonts w:hint="eastAsia" w:ascii="Cambria Math" w:hAnsi="Cambria Math"/>
                        <w:highlight w:val="none"/>
                      </w:rPr>
                      <m:t>R</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r>
                  <m:rPr/>
                  <w:rPr>
                    <w:rFonts w:ascii="Cambria Math" w:hAnsi="Cambria Math"/>
                    <w:highlight w:val="none"/>
                  </w:rPr>
                  <m:t>=100</m:t>
                </m:r>
                <m:r>
                  <m:rPr/>
                  <w:rPr>
                    <w:rFonts w:hint="eastAsia" w:ascii="微软雅黑" w:hAnsi="微软雅黑" w:eastAsia="微软雅黑" w:cs="微软雅黑"/>
                    <w:highlight w:val="none"/>
                  </w:rPr>
                  <m:t>−</m:t>
                </m:r>
                <m:r>
                  <m:rPr/>
                  <w:rPr>
                    <w:rFonts w:ascii="Cambria Math" w:hAnsi="Cambria Math"/>
                    <w:highlight w:val="none"/>
                  </w:rPr>
                  <m:t>4.6∆</m:t>
                </m:r>
                <m:sSub>
                  <m:sSubPr>
                    <m:ctrlPr>
                      <w:rPr>
                        <w:rFonts w:ascii="Cambria Math" w:hAnsi="Cambria Math"/>
                        <w:i/>
                        <w:highlight w:val="none"/>
                      </w:rPr>
                    </m:ctrlPr>
                  </m:sSubPr>
                  <m:e>
                    <m:r>
                      <m:rPr/>
                      <w:rPr>
                        <w:rFonts w:ascii="Cambria Math" w:hAnsi="Cambria Math"/>
                        <w:highlight w:val="none"/>
                      </w:rPr>
                      <m:t>E</m:t>
                    </m:r>
                    <m:ctrlPr>
                      <w:rPr>
                        <w:rFonts w:ascii="Cambria Math" w:hAnsi="Cambria Math"/>
                        <w:i/>
                        <w:highlight w:val="none"/>
                      </w:rPr>
                    </m:ctrlPr>
                  </m:e>
                  <m:sub>
                    <m:r>
                      <m:rPr/>
                      <w:rPr>
                        <w:rFonts w:ascii="Cambria Math" w:hAnsi="Cambria Math"/>
                        <w:highlight w:val="none"/>
                      </w:rPr>
                      <m:t>i</m:t>
                    </m:r>
                    <m:ctrlPr>
                      <w:rPr>
                        <w:rFonts w:ascii="Cambria Math" w:hAnsi="Cambria Math"/>
                        <w:i/>
                        <w:highlight w:val="none"/>
                      </w:rPr>
                    </m:ctrlPr>
                  </m:sub>
                </m:sSub>
              </m:oMath>
            </m:oMathPara>
          </w:p>
        </w:tc>
        <w:tc>
          <w:tcPr>
            <w:tcW w:w="1985" w:type="dxa"/>
            <w:vAlign w:val="center"/>
          </w:tcPr>
          <w:p w14:paraId="0D8BC739">
            <w:pPr>
              <w:ind w:firstLine="480"/>
              <w:jc w:val="right"/>
              <w:rPr>
                <w:highlight w:val="none"/>
              </w:rPr>
            </w:pPr>
            <w:r>
              <w:rPr>
                <w:highlight w:val="none"/>
              </w:rPr>
              <w:t>(C.6)</w:t>
            </w:r>
          </w:p>
        </w:tc>
      </w:tr>
    </w:tbl>
    <w:p w14:paraId="0C43195F">
      <w:pPr>
        <w:ind w:firstLine="480" w:firstLineChars="200"/>
        <w:rPr>
          <w:highlight w:val="none"/>
        </w:rPr>
      </w:pPr>
      <w:r>
        <w:rPr>
          <w:rFonts w:hint="eastAsia"/>
          <w:highlight w:val="none"/>
        </w:rPr>
        <w:t>计算结果取舍入后最接近的整数。</w:t>
      </w:r>
    </w:p>
    <w:p w14:paraId="67023122">
      <w:pPr>
        <w:ind w:firstLine="480" w:firstLineChars="200"/>
        <w:rPr>
          <w:highlight w:val="none"/>
        </w:rPr>
      </w:pPr>
      <w:r>
        <w:rPr>
          <w:rFonts w:hint="eastAsia"/>
          <w:highlight w:val="none"/>
        </w:rPr>
        <w:t>一般显色指数</w:t>
      </w:r>
      <w:r>
        <w:rPr>
          <w:rFonts w:hint="eastAsia"/>
          <w:i/>
          <w:iCs/>
          <w:highlight w:val="none"/>
        </w:rPr>
        <w:t>R</w:t>
      </w:r>
      <w:r>
        <w:rPr>
          <w:rFonts w:hint="eastAsia"/>
          <w:highlight w:val="none"/>
          <w:vertAlign w:val="subscript"/>
        </w:rPr>
        <w:t>a</w:t>
      </w:r>
      <w:r>
        <w:rPr>
          <w:rFonts w:hint="eastAsia"/>
          <w:highlight w:val="none"/>
        </w:rPr>
        <w:t>：</w:t>
      </w:r>
    </w:p>
    <w:tbl>
      <w:tblPr>
        <w:tblStyle w:val="9"/>
        <w:tblW w:w="82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4110"/>
        <w:gridCol w:w="1985"/>
      </w:tblGrid>
      <w:tr w14:paraId="3E37B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2127" w:type="dxa"/>
            <w:vAlign w:val="center"/>
          </w:tcPr>
          <w:p w14:paraId="4BCEB999">
            <w:pPr>
              <w:jc w:val="left"/>
              <w:rPr>
                <w:highlight w:val="none"/>
              </w:rPr>
            </w:pPr>
          </w:p>
        </w:tc>
        <w:tc>
          <w:tcPr>
            <w:tcW w:w="4110" w:type="dxa"/>
            <w:vAlign w:val="center"/>
          </w:tcPr>
          <w:p w14:paraId="54B2F3F4">
            <w:pPr>
              <w:ind w:leftChars="-2" w:hanging="4" w:hangingChars="2"/>
              <w:jc w:val="center"/>
              <w:rPr>
                <w:highlight w:val="none"/>
              </w:rPr>
            </w:pPr>
            <w:r>
              <w:rPr>
                <w:position w:val="-28"/>
                <w:highlight w:val="none"/>
              </w:rPr>
              <w:object>
                <v:shape id="_x0000_i1028" o:spt="75" type="#_x0000_t75" style="height:34.8pt;width:61.8pt;" o:ole="t" filled="f" o:preferrelative="t" stroked="f" coordsize="21600,21600">
                  <v:path/>
                  <v:fill on="f" focussize="0,0"/>
                  <v:stroke on="f" joinstyle="miter"/>
                  <v:imagedata r:id="rId24" o:title=""/>
                  <o:lock v:ext="edit" aspectratio="t"/>
                  <w10:wrap type="none"/>
                  <w10:anchorlock/>
                </v:shape>
                <o:OLEObject Type="Embed" ProgID="Equation.DSMT4" ShapeID="_x0000_i1028" DrawAspect="Content" ObjectID="_1468075728" r:id="rId23">
                  <o:LockedField>false</o:LockedField>
                </o:OLEObject>
              </w:object>
            </w:r>
          </w:p>
        </w:tc>
        <w:tc>
          <w:tcPr>
            <w:tcW w:w="1985" w:type="dxa"/>
            <w:vAlign w:val="center"/>
          </w:tcPr>
          <w:p w14:paraId="7045BB84">
            <w:pPr>
              <w:ind w:firstLine="480"/>
              <w:jc w:val="right"/>
              <w:rPr>
                <w:highlight w:val="none"/>
              </w:rPr>
            </w:pPr>
            <w:r>
              <w:rPr>
                <w:highlight w:val="none"/>
              </w:rPr>
              <w:t>(C.7)</w:t>
            </w:r>
          </w:p>
        </w:tc>
      </w:tr>
    </w:tbl>
    <w:p w14:paraId="784502F8">
      <w:pPr>
        <w:ind w:firstLine="480" w:firstLineChars="200"/>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SymbolMT">
    <w:altName w:val="MS Gothic"/>
    <w:panose1 w:val="00000000000000000000"/>
    <w:charset w:val="80"/>
    <w:family w:val="auto"/>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宋体..彦..">
    <w:altName w:val="宋体"/>
    <w:panose1 w:val="00000000000000000000"/>
    <w:charset w:val="86"/>
    <w:family w:val="roman"/>
    <w:pitch w:val="default"/>
    <w:sig w:usb0="00000000" w:usb1="00000000" w:usb2="00000010" w:usb3="00000000" w:csb0="00040000" w:csb1="00000000"/>
  </w:font>
  <w:font w:name="新宋体-18030">
    <w:altName w:val="宋体"/>
    <w:panose1 w:val="00000000000000000000"/>
    <w:charset w:val="86"/>
    <w:family w:val="modern"/>
    <w:pitch w:val="default"/>
    <w:sig w:usb0="00000000" w:usb1="00000000" w:usb2="000A005E" w:usb3="00000000" w:csb0="00040001" w:csb1="00000000"/>
  </w:font>
  <w:font w:name="..ì.">
    <w:altName w:val="宋体"/>
    <w:panose1 w:val="00000000000000000000"/>
    <w:charset w:val="86"/>
    <w:family w:val="auto"/>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MATLAB">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swiss"/>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24071740"/>
    </w:sdtPr>
    <w:sdtContent>
      <w:p w14:paraId="55941F07">
        <w:pPr>
          <w:pStyle w:val="4"/>
          <w:ind w:firstLine="360"/>
          <w:jc w:val="right"/>
        </w:pPr>
        <w:r>
          <w:fldChar w:fldCharType="begin"/>
        </w:r>
        <w:r>
          <w:instrText xml:space="preserve"> PAGE   \* MERGEFORMAT </w:instrText>
        </w:r>
        <w:r>
          <w:fldChar w:fldCharType="separate"/>
        </w:r>
        <w:r>
          <w:rPr>
            <w:lang w:val="zh-CN"/>
          </w:rPr>
          <w:t>1</w:t>
        </w:r>
        <w:r>
          <w:rPr>
            <w:lang w:val="zh-CN"/>
          </w:rPr>
          <w:fldChar w:fldCharType="end"/>
        </w:r>
      </w:p>
    </w:sdtContent>
  </w:sdt>
  <w:p w14:paraId="2E7725C9">
    <w:pPr>
      <w:pStyle w:val="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003A14">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D1CE07">
    <w:pPr>
      <w:pStyle w:val="4"/>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09BE99">
    <w:pPr>
      <w:pStyle w:val="4"/>
      <w:ind w:firstLine="360"/>
      <w:jc w:val="right"/>
    </w:pPr>
  </w:p>
  <w:p w14:paraId="2CE1DFEE">
    <w:pPr>
      <w:pStyle w:val="4"/>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70216558"/>
    </w:sdtPr>
    <w:sdtContent>
      <w:p w14:paraId="251E6A3E">
        <w:pPr>
          <w:pStyle w:val="4"/>
          <w:jc w:val="right"/>
        </w:pPr>
        <w:r>
          <w:fldChar w:fldCharType="begin"/>
        </w:r>
        <w:r>
          <w:instrText xml:space="preserve">PAGE   \* MERGEFORMAT</w:instrText>
        </w:r>
        <w:r>
          <w:fldChar w:fldCharType="separate"/>
        </w:r>
        <w:r>
          <w:rPr>
            <w:lang w:val="zh-CN"/>
          </w:rPr>
          <w:t>4</w:t>
        </w:r>
        <w:r>
          <w:fldChar w:fldCharType="end"/>
        </w:r>
      </w:p>
    </w:sdtContent>
  </w:sdt>
  <w:p w14:paraId="1ADEA10C">
    <w:pPr>
      <w:pStyle w:val="4"/>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376A8">
    <w:pPr>
      <w:pStyle w:val="4"/>
      <w:jc w:val="right"/>
    </w:pPr>
  </w:p>
  <w:p w14:paraId="5EFBE505">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A5D0D">
    <w:pPr>
      <w:pStyle w:val="25"/>
      <w:jc w:val="center"/>
      <w:rPr>
        <w:rFonts w:cs="Times New Roman"/>
        <w:color w:val="auto"/>
      </w:rPr>
    </w:pPr>
    <w:r>
      <w:rPr>
        <w:rFonts w:ascii="Arial" w:hAnsi="Arial" w:cs="Arial"/>
      </w:rPr>
      <w:t>JJF ××××-××××</w:t>
    </w:r>
  </w:p>
  <w:p w14:paraId="736097BB">
    <w:pPr>
      <w:spacing w:line="360" w:lineRule="auto"/>
      <w:ind w:firstLine="600" w:firstLineChars="200"/>
      <w:rPr>
        <w:sz w:val="30"/>
        <w:szCs w:val="30"/>
      </w:rPr>
    </w:pPr>
    <w:r>
      <w:rPr>
        <w:sz w:val="30"/>
        <w:szCs w:val="30"/>
      </w:rPr>
      <mc:AlternateContent>
        <mc:Choice Requires="wps">
          <w:drawing>
            <wp:anchor distT="0" distB="0" distL="114300" distR="114300" simplePos="0" relativeHeight="251659264" behindDoc="0" locked="0" layoutInCell="1" allowOverlap="1">
              <wp:simplePos x="0" y="0"/>
              <wp:positionH relativeFrom="column">
                <wp:posOffset>-135890</wp:posOffset>
              </wp:positionH>
              <wp:positionV relativeFrom="paragraph">
                <wp:posOffset>129540</wp:posOffset>
              </wp:positionV>
              <wp:extent cx="5707380" cy="0"/>
              <wp:effectExtent l="16510" t="15240" r="10160" b="13335"/>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5707380" cy="0"/>
                      </a:xfrm>
                      <a:prstGeom prst="line">
                        <a:avLst/>
                      </a:prstGeom>
                      <a:noFill/>
                      <a:ln w="19050">
                        <a:solidFill>
                          <a:srgbClr val="000000"/>
                        </a:solidFill>
                        <a:round/>
                      </a:ln>
                    </wps:spPr>
                    <wps:bodyPr/>
                  </wps:wsp>
                </a:graphicData>
              </a:graphic>
            </wp:anchor>
          </w:drawing>
        </mc:Choice>
        <mc:Fallback>
          <w:pict>
            <v:line id="Line 1" o:spid="_x0000_s1026" o:spt="20" style="position:absolute;left:0pt;margin-left:-10.7pt;margin-top:10.2pt;height:0pt;width:449.4pt;z-index:251659264;mso-width-relative:page;mso-height-relative:page;" filled="f" stroked="t" coordsize="21600,21600" o:gfxdata="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hUA0zNUAAAAJAQAADwAAAAAAAAABACAAAAAiAAAAZHJzL2Rvd25y&#10;ZXYueG1sUEsBAhQAFAAAAAgAh07iQCidZtLIAQAAoAMAAA4AAAAAAAAAAQAgAAAAJAEAAGRycy9l&#10;Mm9Eb2MueG1sUEsFBgAAAAAGAAYAWQEAAF4FAAAAAA==&#10;">
              <v:fill on="f" focussize="0,0"/>
              <v:stroke weight="1.5pt" color="#000000" joinstyle="round"/>
              <v:imagedata o:title=""/>
              <o:lock v:ext="edit" aspectratio="f"/>
            </v:line>
          </w:pict>
        </mc:Fallback>
      </mc:AlternateContent>
    </w:r>
  </w:p>
  <w:p w14:paraId="5BA9E33C">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409D29">
    <w:pPr>
      <w:pStyle w:val="25"/>
      <w:jc w:val="center"/>
      <w:rPr>
        <w:rFonts w:ascii="楷体_GB2312" w:eastAsia="楷体_GB2312" w:cs="Times New Roman"/>
        <w:b/>
        <w:color w:val="auto"/>
      </w:rPr>
    </w:pPr>
    <w:r>
      <w:rPr>
        <w:rFonts w:hint="eastAsia" w:ascii="楷体_GB2312" w:hAnsi="Arial" w:eastAsia="楷体_GB2312" w:cs="Arial"/>
        <w:b/>
      </w:rPr>
      <w:t>JJF ××××-××××</w:t>
    </w:r>
  </w:p>
  <w:p w14:paraId="56DA28DA">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5B23FE">
    <w:pPr>
      <w:pStyle w:val="5"/>
      <w:pBdr>
        <w:bottom w:val="single" w:color="auto" w:sz="6" w:space="0"/>
      </w:pBdr>
      <w:ind w:firstLine="420"/>
      <w:rPr>
        <w:rFonts w:hint="eastAsia" w:ascii="黑体" w:hAnsi="黑体" w:eastAsia="黑体"/>
        <w:sz w:val="21"/>
        <w:szCs w:val="21"/>
      </w:rPr>
    </w:pPr>
    <w:r>
      <w:rPr>
        <w:rFonts w:ascii="黑体" w:hAnsi="黑体" w:eastAsia="黑体"/>
        <w:sz w:val="21"/>
        <w:szCs w:val="21"/>
      </w:rPr>
      <w:t xml:space="preserve">JJF </w:t>
    </w:r>
    <w:r>
      <w:rPr>
        <w:rFonts w:hint="eastAsia" w:ascii="黑体" w:hAnsi="黑体" w:eastAsia="黑体"/>
        <w:sz w:val="21"/>
        <w:szCs w:val="21"/>
      </w:rPr>
      <w:t>××××</w:t>
    </w:r>
    <w:r>
      <w:rPr>
        <w:rFonts w:ascii="黑体" w:hAnsi="黑体" w:eastAsia="黑体"/>
        <w:sz w:val="21"/>
        <w:szCs w:val="21"/>
      </w:rPr>
      <w:t>-××××</w:t>
    </w:r>
  </w:p>
  <w:p w14:paraId="5380B14C">
    <w:pPr>
      <w:pStyle w:val="5"/>
      <w:pBdr>
        <w:bottom w:val="single" w:color="auto" w:sz="6" w:space="0"/>
      </w:pBdr>
      <w:ind w:firstLine="420"/>
      <w:rPr>
        <w:rFonts w:hint="eastAsia" w:ascii="黑体" w:hAnsi="黑体" w:eastAsia="黑体"/>
        <w:sz w:val="21"/>
        <w:szCs w:val="21"/>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B8A11">
    <w:pPr>
      <w:pStyle w:val="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D7570">
    <w:pPr>
      <w:pStyle w:val="5"/>
      <w:pBdr>
        <w:bottom w:val="single" w:color="auto" w:sz="6" w:space="0"/>
      </w:pBdr>
      <w:ind w:firstLine="420"/>
      <w:rPr>
        <w:rFonts w:hint="eastAsia" w:ascii="黑体" w:hAnsi="黑体" w:eastAsia="黑体"/>
        <w:sz w:val="21"/>
        <w:szCs w:val="21"/>
      </w:rPr>
    </w:pPr>
    <w:r>
      <w:rPr>
        <w:rFonts w:ascii="黑体" w:hAnsi="黑体" w:eastAsia="黑体"/>
        <w:sz w:val="21"/>
        <w:szCs w:val="21"/>
      </w:rPr>
      <w:t xml:space="preserve">JJF </w:t>
    </w:r>
    <w:r>
      <w:rPr>
        <w:rFonts w:hint="eastAsia" w:ascii="黑体" w:hAnsi="黑体" w:eastAsia="黑体"/>
        <w:sz w:val="21"/>
        <w:szCs w:val="21"/>
      </w:rPr>
      <w:t>××××</w:t>
    </w:r>
    <w:r>
      <w:rPr>
        <w:rFonts w:ascii="黑体" w:hAnsi="黑体" w:eastAsia="黑体"/>
        <w:sz w:val="21"/>
        <w:szCs w:val="21"/>
      </w:rPr>
      <w:t>-××××</w:t>
    </w:r>
  </w:p>
  <w:p w14:paraId="6DEF3F2C">
    <w:pPr>
      <w:pStyle w:val="5"/>
      <w:pBdr>
        <w:bottom w:val="single" w:color="auto" w:sz="6" w:space="0"/>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F3CAA">
    <w:pPr>
      <w:pStyle w:val="5"/>
      <w:rPr>
        <w:rFonts w:hint="eastAsia" w:ascii="黑体" w:hAnsi="黑体" w:eastAsia="黑体"/>
        <w:sz w:val="21"/>
        <w:szCs w:val="21"/>
      </w:rPr>
    </w:pPr>
    <w:r>
      <w:ptab w:relativeTo="margin" w:alignment="center" w:leader="none"/>
    </w:r>
    <w:r>
      <w:ptab w:relativeTo="margin" w:alignment="right" w:leader="none"/>
    </w:r>
    <w:r>
      <w:rPr>
        <w:rFonts w:ascii="黑体" w:hAnsi="黑体" w:eastAsia="黑体"/>
        <w:sz w:val="21"/>
        <w:szCs w:val="21"/>
      </w:rPr>
      <w:t xml:space="preserve"> JJF </w:t>
    </w:r>
    <w:r>
      <w:rPr>
        <w:rFonts w:hint="eastAsia" w:ascii="黑体" w:hAnsi="黑体" w:eastAsia="黑体"/>
        <w:sz w:val="21"/>
        <w:szCs w:val="21"/>
      </w:rPr>
      <w:t>××××</w:t>
    </w:r>
    <w:r>
      <w:rPr>
        <w:rFonts w:ascii="黑体" w:hAnsi="黑体" w:eastAsia="黑体"/>
        <w:sz w:val="21"/>
        <w:szCs w:val="21"/>
      </w:rPr>
      <w:t>-××××</w:t>
    </w:r>
  </w:p>
  <w:p w14:paraId="1D56A18B">
    <w:pPr>
      <w:pStyle w:val="5"/>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1A5C4">
    <w:pPr>
      <w:pStyle w:val="5"/>
    </w:pPr>
    <w:r>
      <w:rPr>
        <w:rFonts w:hint="eastAsia"/>
      </w:rPr>
      <w:t>光源显色指数校准方法</w:t>
    </w:r>
    <w:r>
      <w:ptab w:relativeTo="margin" w:alignment="center" w:leader="none"/>
    </w:r>
    <w:r>
      <w:ptab w:relativeTo="margin" w:alignment="right" w:leader="none"/>
    </w:r>
    <w:r>
      <w:t>NIM-ZY-GX-GD-407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C"/>
    <w:multiLevelType w:val="multilevel"/>
    <w:tmpl w:val="0000000C"/>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1DDD52DD"/>
    <w:multiLevelType w:val="multilevel"/>
    <w:tmpl w:val="1DDD52DD"/>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FD828FD"/>
    <w:multiLevelType w:val="multilevel"/>
    <w:tmpl w:val="2FD828FD"/>
    <w:lvl w:ilvl="0" w:tentative="0">
      <w:start w:val="1"/>
      <w:numFmt w:val="decimal"/>
      <w:pStyle w:val="1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WM5YWMxZmNjY2Y5NTgyOGE5ZmE3MzA3OWQzZjVmNmIifQ=="/>
  </w:docVars>
  <w:rsids>
    <w:rsidRoot w:val="000E5973"/>
    <w:rsid w:val="000246CD"/>
    <w:rsid w:val="000332F4"/>
    <w:rsid w:val="000444F4"/>
    <w:rsid w:val="00056DB3"/>
    <w:rsid w:val="00062D27"/>
    <w:rsid w:val="0007508D"/>
    <w:rsid w:val="0008638D"/>
    <w:rsid w:val="00096C6F"/>
    <w:rsid w:val="000A144C"/>
    <w:rsid w:val="000A452D"/>
    <w:rsid w:val="000A4796"/>
    <w:rsid w:val="000B0FBA"/>
    <w:rsid w:val="000B17A1"/>
    <w:rsid w:val="000C28D4"/>
    <w:rsid w:val="000E5973"/>
    <w:rsid w:val="000E6C46"/>
    <w:rsid w:val="00110501"/>
    <w:rsid w:val="001306D2"/>
    <w:rsid w:val="001324DC"/>
    <w:rsid w:val="0015448F"/>
    <w:rsid w:val="00161CEC"/>
    <w:rsid w:val="00167171"/>
    <w:rsid w:val="00180D98"/>
    <w:rsid w:val="00185FB6"/>
    <w:rsid w:val="001A0DD7"/>
    <w:rsid w:val="001B08F9"/>
    <w:rsid w:val="001B474F"/>
    <w:rsid w:val="001E3E6F"/>
    <w:rsid w:val="001F5424"/>
    <w:rsid w:val="001F7CA3"/>
    <w:rsid w:val="00211400"/>
    <w:rsid w:val="0027054C"/>
    <w:rsid w:val="002A6575"/>
    <w:rsid w:val="002C29B6"/>
    <w:rsid w:val="002D29EB"/>
    <w:rsid w:val="002D3A57"/>
    <w:rsid w:val="002D64F1"/>
    <w:rsid w:val="00303ED1"/>
    <w:rsid w:val="00307149"/>
    <w:rsid w:val="00333C7A"/>
    <w:rsid w:val="00383580"/>
    <w:rsid w:val="003B216E"/>
    <w:rsid w:val="003C4732"/>
    <w:rsid w:val="003D42BA"/>
    <w:rsid w:val="003E0689"/>
    <w:rsid w:val="003F3D59"/>
    <w:rsid w:val="00433933"/>
    <w:rsid w:val="00441426"/>
    <w:rsid w:val="00443E2D"/>
    <w:rsid w:val="00452A40"/>
    <w:rsid w:val="00456709"/>
    <w:rsid w:val="0046166F"/>
    <w:rsid w:val="004639AE"/>
    <w:rsid w:val="00474091"/>
    <w:rsid w:val="004859F5"/>
    <w:rsid w:val="0049031F"/>
    <w:rsid w:val="0049258E"/>
    <w:rsid w:val="004A30EA"/>
    <w:rsid w:val="004B03C0"/>
    <w:rsid w:val="004B69F6"/>
    <w:rsid w:val="004B7225"/>
    <w:rsid w:val="004C0B0D"/>
    <w:rsid w:val="004E327A"/>
    <w:rsid w:val="004E5501"/>
    <w:rsid w:val="004E70B6"/>
    <w:rsid w:val="004F45A7"/>
    <w:rsid w:val="005051C7"/>
    <w:rsid w:val="00516B46"/>
    <w:rsid w:val="00521DB9"/>
    <w:rsid w:val="00527657"/>
    <w:rsid w:val="00530E67"/>
    <w:rsid w:val="0053335B"/>
    <w:rsid w:val="0055122E"/>
    <w:rsid w:val="00554102"/>
    <w:rsid w:val="0056348A"/>
    <w:rsid w:val="00574612"/>
    <w:rsid w:val="00590C2E"/>
    <w:rsid w:val="005966F4"/>
    <w:rsid w:val="005A2911"/>
    <w:rsid w:val="005B19A3"/>
    <w:rsid w:val="005B3647"/>
    <w:rsid w:val="005D48FD"/>
    <w:rsid w:val="005D6E91"/>
    <w:rsid w:val="005E5400"/>
    <w:rsid w:val="005E6AA0"/>
    <w:rsid w:val="00601299"/>
    <w:rsid w:val="006050AD"/>
    <w:rsid w:val="006116B3"/>
    <w:rsid w:val="00611A01"/>
    <w:rsid w:val="00616DCF"/>
    <w:rsid w:val="006323B6"/>
    <w:rsid w:val="006354D0"/>
    <w:rsid w:val="00652CFB"/>
    <w:rsid w:val="00662012"/>
    <w:rsid w:val="0066598B"/>
    <w:rsid w:val="006A6789"/>
    <w:rsid w:val="006B225A"/>
    <w:rsid w:val="006C0528"/>
    <w:rsid w:val="006C247B"/>
    <w:rsid w:val="006C37A8"/>
    <w:rsid w:val="006E7980"/>
    <w:rsid w:val="0070485A"/>
    <w:rsid w:val="007052EE"/>
    <w:rsid w:val="00721957"/>
    <w:rsid w:val="0072565C"/>
    <w:rsid w:val="00740FDB"/>
    <w:rsid w:val="00744587"/>
    <w:rsid w:val="00753DBA"/>
    <w:rsid w:val="00772B38"/>
    <w:rsid w:val="00796CA4"/>
    <w:rsid w:val="007C75BB"/>
    <w:rsid w:val="007D0864"/>
    <w:rsid w:val="007D1EA1"/>
    <w:rsid w:val="007D4596"/>
    <w:rsid w:val="007E0FBF"/>
    <w:rsid w:val="007E1A7E"/>
    <w:rsid w:val="007E3C47"/>
    <w:rsid w:val="007F3B09"/>
    <w:rsid w:val="00802ECF"/>
    <w:rsid w:val="00803BDD"/>
    <w:rsid w:val="00811F5E"/>
    <w:rsid w:val="00833128"/>
    <w:rsid w:val="0084631D"/>
    <w:rsid w:val="0085540F"/>
    <w:rsid w:val="00864A93"/>
    <w:rsid w:val="00874513"/>
    <w:rsid w:val="00880BF0"/>
    <w:rsid w:val="00895304"/>
    <w:rsid w:val="008B2DAA"/>
    <w:rsid w:val="008B4471"/>
    <w:rsid w:val="008B583C"/>
    <w:rsid w:val="008D21B2"/>
    <w:rsid w:val="008E1000"/>
    <w:rsid w:val="008E1B59"/>
    <w:rsid w:val="008E3427"/>
    <w:rsid w:val="008E4EDE"/>
    <w:rsid w:val="00910442"/>
    <w:rsid w:val="0091057B"/>
    <w:rsid w:val="0094446D"/>
    <w:rsid w:val="00955ADB"/>
    <w:rsid w:val="00963B2C"/>
    <w:rsid w:val="00971E44"/>
    <w:rsid w:val="00974B8F"/>
    <w:rsid w:val="0098235E"/>
    <w:rsid w:val="00994FE5"/>
    <w:rsid w:val="009B4708"/>
    <w:rsid w:val="009B52F0"/>
    <w:rsid w:val="009B666E"/>
    <w:rsid w:val="009C2634"/>
    <w:rsid w:val="009F1FDA"/>
    <w:rsid w:val="009F28E6"/>
    <w:rsid w:val="009F7FC5"/>
    <w:rsid w:val="00A035CF"/>
    <w:rsid w:val="00A16C93"/>
    <w:rsid w:val="00A22798"/>
    <w:rsid w:val="00A23F47"/>
    <w:rsid w:val="00A27FB4"/>
    <w:rsid w:val="00A43EB6"/>
    <w:rsid w:val="00A72BF1"/>
    <w:rsid w:val="00A918E5"/>
    <w:rsid w:val="00AB4B84"/>
    <w:rsid w:val="00AC63A9"/>
    <w:rsid w:val="00AC679E"/>
    <w:rsid w:val="00AE1169"/>
    <w:rsid w:val="00AF0B80"/>
    <w:rsid w:val="00B05CD1"/>
    <w:rsid w:val="00B1137C"/>
    <w:rsid w:val="00B57D59"/>
    <w:rsid w:val="00B770D1"/>
    <w:rsid w:val="00B8332B"/>
    <w:rsid w:val="00BD23B1"/>
    <w:rsid w:val="00BE719B"/>
    <w:rsid w:val="00BF3634"/>
    <w:rsid w:val="00C23037"/>
    <w:rsid w:val="00C33312"/>
    <w:rsid w:val="00C53B8C"/>
    <w:rsid w:val="00C77003"/>
    <w:rsid w:val="00C77163"/>
    <w:rsid w:val="00C779D6"/>
    <w:rsid w:val="00C8146F"/>
    <w:rsid w:val="00CA09A1"/>
    <w:rsid w:val="00CA37DB"/>
    <w:rsid w:val="00CC1727"/>
    <w:rsid w:val="00CD382B"/>
    <w:rsid w:val="00CF745D"/>
    <w:rsid w:val="00D060B9"/>
    <w:rsid w:val="00D06992"/>
    <w:rsid w:val="00D10F45"/>
    <w:rsid w:val="00D11C7B"/>
    <w:rsid w:val="00D277F0"/>
    <w:rsid w:val="00D65C3C"/>
    <w:rsid w:val="00D67EE5"/>
    <w:rsid w:val="00D74C11"/>
    <w:rsid w:val="00D812FB"/>
    <w:rsid w:val="00D84519"/>
    <w:rsid w:val="00DC7E91"/>
    <w:rsid w:val="00DD3048"/>
    <w:rsid w:val="00DF369F"/>
    <w:rsid w:val="00DF6B14"/>
    <w:rsid w:val="00E125C4"/>
    <w:rsid w:val="00E41229"/>
    <w:rsid w:val="00E84984"/>
    <w:rsid w:val="00E93923"/>
    <w:rsid w:val="00EA46A7"/>
    <w:rsid w:val="00EC1368"/>
    <w:rsid w:val="00EE709E"/>
    <w:rsid w:val="00EF2F8A"/>
    <w:rsid w:val="00EF437F"/>
    <w:rsid w:val="00EF74C7"/>
    <w:rsid w:val="00F067EE"/>
    <w:rsid w:val="00F1557A"/>
    <w:rsid w:val="00F21497"/>
    <w:rsid w:val="00F24562"/>
    <w:rsid w:val="00F36414"/>
    <w:rsid w:val="00F4280E"/>
    <w:rsid w:val="00F459CE"/>
    <w:rsid w:val="00F54016"/>
    <w:rsid w:val="00FB0323"/>
    <w:rsid w:val="00FB6B13"/>
    <w:rsid w:val="00FB7BFB"/>
    <w:rsid w:val="00FD0489"/>
    <w:rsid w:val="00FD1218"/>
    <w:rsid w:val="00FD6B55"/>
    <w:rsid w:val="00FE45A2"/>
    <w:rsid w:val="0C7309CD"/>
    <w:rsid w:val="0DB830F7"/>
    <w:rsid w:val="0FE7455A"/>
    <w:rsid w:val="10BE4399"/>
    <w:rsid w:val="14481FBD"/>
    <w:rsid w:val="1932131F"/>
    <w:rsid w:val="1C636653"/>
    <w:rsid w:val="1F807AA1"/>
    <w:rsid w:val="32E159D5"/>
    <w:rsid w:val="34260437"/>
    <w:rsid w:val="3F326D12"/>
    <w:rsid w:val="414F3D9C"/>
    <w:rsid w:val="43B92973"/>
    <w:rsid w:val="4B674AD0"/>
    <w:rsid w:val="58DB1F9E"/>
    <w:rsid w:val="6A71363A"/>
    <w:rsid w:val="6DA37E2F"/>
    <w:rsid w:val="7226039A"/>
    <w:rsid w:val="7CBB1F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9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caption"/>
    <w:basedOn w:val="1"/>
    <w:next w:val="1"/>
    <w:unhideWhenUsed/>
    <w:qFormat/>
    <w:uiPriority w:val="0"/>
    <w:rPr>
      <w:rFonts w:eastAsia="黑体" w:asciiTheme="majorHAnsi" w:hAnsiTheme="majorHAnsi" w:cstheme="majorBidi"/>
      <w:sz w:val="20"/>
      <w:szCs w:val="20"/>
    </w:rPr>
  </w:style>
  <w:style w:type="paragraph" w:styleId="4">
    <w:name w:val="footer"/>
    <w:basedOn w:val="1"/>
    <w:link w:val="26"/>
    <w:unhideWhenUsed/>
    <w:qFormat/>
    <w:uiPriority w:val="99"/>
    <w:pPr>
      <w:tabs>
        <w:tab w:val="center" w:pos="4153"/>
        <w:tab w:val="right" w:pos="8306"/>
      </w:tabs>
      <w:snapToGrid w:val="0"/>
      <w:jc w:val="left"/>
    </w:pPr>
    <w:rPr>
      <w:sz w:val="18"/>
      <w:szCs w:val="18"/>
    </w:rPr>
  </w:style>
  <w:style w:type="paragraph" w:styleId="5">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6">
    <w:name w:val="toc 1"/>
    <w:next w:val="1"/>
    <w:qFormat/>
    <w:uiPriority w:val="39"/>
    <w:pPr>
      <w:jc w:val="both"/>
    </w:pPr>
    <w:rPr>
      <w:rFonts w:ascii="宋体" w:hAnsi="Times New Roman" w:eastAsia="宋体" w:cs="Times New Roman"/>
      <w:sz w:val="21"/>
      <w:lang w:val="en-US" w:eastAsia="zh-CN" w:bidi="ar-SA"/>
    </w:rPr>
  </w:style>
  <w:style w:type="paragraph" w:styleId="7">
    <w:name w:val="toc 2"/>
    <w:basedOn w:val="6"/>
    <w:next w:val="1"/>
    <w:qFormat/>
    <w:uiPriority w:val="39"/>
  </w:style>
  <w:style w:type="table" w:styleId="9">
    <w:name w:val="Table Grid"/>
    <w:basedOn w:val="8"/>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qFormat/>
    <w:uiPriority w:val="99"/>
    <w:rPr>
      <w:rFonts w:ascii="Times New Roman" w:hAnsi="Times New Roman" w:eastAsia="宋体"/>
      <w:color w:val="auto"/>
      <w:spacing w:val="0"/>
      <w:w w:val="100"/>
      <w:position w:val="0"/>
      <w:sz w:val="21"/>
      <w:u w:val="none"/>
      <w:vertAlign w:val="baseline"/>
    </w:rPr>
  </w:style>
  <w:style w:type="paragraph" w:customStyle="1" w:styleId="13">
    <w:name w:val="前言、引言标题"/>
    <w:next w:val="1"/>
    <w:qFormat/>
    <w:uiPriority w:val="0"/>
    <w:pPr>
      <w:numPr>
        <w:ilvl w:val="0"/>
        <w:numId w:val="1"/>
      </w:numPr>
      <w:shd w:val="clear" w:color="FFFFFF" w:fill="FFFFFF"/>
      <w:spacing w:before="567" w:after="540"/>
      <w:jc w:val="center"/>
      <w:outlineLvl w:val="0"/>
    </w:pPr>
    <w:rPr>
      <w:rFonts w:ascii="黑体" w:hAnsi="Times New Roman" w:eastAsia="黑体" w:cs="Times New Roman"/>
      <w:spacing w:val="200"/>
      <w:sz w:val="32"/>
      <w:lang w:val="en-US" w:eastAsia="zh-CN" w:bidi="ar-SA"/>
    </w:rPr>
  </w:style>
  <w:style w:type="paragraph" w:styleId="14">
    <w:name w:val="List Paragraph"/>
    <w:basedOn w:val="1"/>
    <w:qFormat/>
    <w:uiPriority w:val="34"/>
    <w:pPr>
      <w:ind w:firstLine="420" w:firstLineChars="200"/>
    </w:pPr>
  </w:style>
  <w:style w:type="paragraph" w:customStyle="1" w:styleId="15">
    <w:name w:val="第一层"/>
    <w:basedOn w:val="2"/>
    <w:qFormat/>
    <w:uiPriority w:val="0"/>
    <w:pPr>
      <w:spacing w:line="360" w:lineRule="auto"/>
    </w:pPr>
    <w:rPr>
      <w:rFonts w:ascii="黑体" w:eastAsia="黑体"/>
      <w:sz w:val="24"/>
      <w:szCs w:val="24"/>
    </w:rPr>
  </w:style>
  <w:style w:type="paragraph" w:customStyle="1" w:styleId="16">
    <w:name w:val="附录的标题"/>
    <w:basedOn w:val="1"/>
    <w:qFormat/>
    <w:uiPriority w:val="0"/>
    <w:pPr>
      <w:jc w:val="center"/>
    </w:pPr>
    <w:rPr>
      <w:rFonts w:ascii="黑体" w:hAnsi="黑体" w:eastAsia="黑体"/>
      <w:sz w:val="32"/>
      <w:szCs w:val="32"/>
    </w:rPr>
  </w:style>
  <w:style w:type="paragraph" w:customStyle="1" w:styleId="17">
    <w:name w:val="第二层"/>
    <w:basedOn w:val="1"/>
    <w:qFormat/>
    <w:uiPriority w:val="0"/>
    <w:pPr>
      <w:keepNext/>
      <w:keepLines/>
      <w:adjustRightInd w:val="0"/>
      <w:snapToGrid w:val="0"/>
      <w:outlineLvl w:val="1"/>
    </w:pPr>
    <w:rPr>
      <w:rFonts w:asciiTheme="minorEastAsia" w:hAnsiTheme="minorEastAsia" w:cstheme="majorBidi"/>
      <w:bCs/>
    </w:rPr>
  </w:style>
  <w:style w:type="paragraph" w:customStyle="1" w:styleId="18">
    <w:name w:val="段"/>
    <w:next w:val="1"/>
    <w:qFormat/>
    <w:uiPriority w:val="0"/>
    <w:pPr>
      <w:autoSpaceDE w:val="0"/>
      <w:autoSpaceDN w:val="0"/>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19">
    <w:name w:val="页眉 字符"/>
    <w:basedOn w:val="10"/>
    <w:link w:val="5"/>
    <w:qFormat/>
    <w:uiPriority w:val="99"/>
    <w:rPr>
      <w:rFonts w:ascii="Times New Roman" w:hAnsi="Times New Roman" w:cs="Times New Roman"/>
      <w:kern w:val="2"/>
      <w:sz w:val="18"/>
      <w:szCs w:val="18"/>
    </w:rPr>
  </w:style>
  <w:style w:type="character" w:customStyle="1" w:styleId="20">
    <w:name w:val="fontstyle01"/>
    <w:basedOn w:val="10"/>
    <w:qFormat/>
    <w:uiPriority w:val="0"/>
    <w:rPr>
      <w:rFonts w:hint="eastAsia" w:ascii="宋体" w:hAnsi="宋体" w:eastAsia="宋体"/>
      <w:color w:val="000000"/>
      <w:sz w:val="24"/>
      <w:szCs w:val="24"/>
    </w:rPr>
  </w:style>
  <w:style w:type="character" w:customStyle="1" w:styleId="21">
    <w:name w:val="fontstyle11"/>
    <w:basedOn w:val="10"/>
    <w:qFormat/>
    <w:uiPriority w:val="0"/>
    <w:rPr>
      <w:rFonts w:hint="default" w:ascii="TimesNewRomanPSMT" w:hAnsi="TimesNewRomanPSMT"/>
      <w:color w:val="000000"/>
      <w:sz w:val="24"/>
      <w:szCs w:val="24"/>
    </w:rPr>
  </w:style>
  <w:style w:type="character" w:customStyle="1" w:styleId="22">
    <w:name w:val="fontstyle21"/>
    <w:basedOn w:val="10"/>
    <w:qFormat/>
    <w:uiPriority w:val="0"/>
    <w:rPr>
      <w:rFonts w:hint="eastAsia" w:ascii="SymbolMT" w:eastAsia="SymbolMT"/>
      <w:color w:val="000000"/>
      <w:sz w:val="24"/>
      <w:szCs w:val="24"/>
    </w:rPr>
  </w:style>
  <w:style w:type="character" w:styleId="23">
    <w:name w:val="Placeholder Text"/>
    <w:basedOn w:val="10"/>
    <w:semiHidden/>
    <w:qFormat/>
    <w:uiPriority w:val="99"/>
    <w:rPr>
      <w:color w:val="808080"/>
    </w:rPr>
  </w:style>
  <w:style w:type="paragraph" w:customStyle="1" w:styleId="24">
    <w:name w:val="标准文件_段"/>
    <w:qFormat/>
    <w:uiPriority w:val="0"/>
    <w:pPr>
      <w:autoSpaceDE w:val="0"/>
      <w:autoSpaceDN w:val="0"/>
      <w:spacing w:line="360" w:lineRule="auto"/>
    </w:pPr>
    <w:rPr>
      <w:rFonts w:ascii="宋体" w:hAnsi="宋体" w:eastAsia="宋体" w:cs="Times New Roman"/>
      <w:spacing w:val="2"/>
      <w:sz w:val="24"/>
      <w:szCs w:val="24"/>
      <w:lang w:val="en-US" w:eastAsia="zh-CN" w:bidi="ar-SA"/>
    </w:rPr>
  </w:style>
  <w:style w:type="paragraph" w:customStyle="1" w:styleId="25">
    <w:name w:val="Default"/>
    <w:qFormat/>
    <w:uiPriority w:val="0"/>
    <w:pPr>
      <w:widowControl w:val="0"/>
      <w:autoSpaceDE w:val="0"/>
      <w:autoSpaceDN w:val="0"/>
      <w:adjustRightInd w:val="0"/>
    </w:pPr>
    <w:rPr>
      <w:rFonts w:ascii="宋体..彦.." w:eastAsia="宋体..彦.." w:cs="宋体..彦.." w:hAnsiTheme="minorHAnsi"/>
      <w:color w:val="000000"/>
      <w:sz w:val="24"/>
      <w:szCs w:val="24"/>
      <w:lang w:val="en-US" w:eastAsia="zh-CN" w:bidi="ar-SA"/>
    </w:rPr>
  </w:style>
  <w:style w:type="character" w:customStyle="1" w:styleId="26">
    <w:name w:val="页脚 字符"/>
    <w:basedOn w:val="10"/>
    <w:link w:val="4"/>
    <w:qFormat/>
    <w:uiPriority w:val="99"/>
    <w:rPr>
      <w:rFonts w:ascii="Times New Roman" w:hAnsi="Times New Roman"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4.wmf"/><Relationship Id="rId23" Type="http://schemas.openxmlformats.org/officeDocument/2006/relationships/oleObject" Target="embeddings/oleObject4.bin"/><Relationship Id="rId22" Type="http://schemas.openxmlformats.org/officeDocument/2006/relationships/image" Target="media/image3.emf"/><Relationship Id="rId21" Type="http://schemas.openxmlformats.org/officeDocument/2006/relationships/oleObject" Target="embeddings/oleObject3.bin"/><Relationship Id="rId20" Type="http://schemas.openxmlformats.org/officeDocument/2006/relationships/image" Target="media/image2.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1.emf"/><Relationship Id="rId17" Type="http://schemas.openxmlformats.org/officeDocument/2006/relationships/oleObject" Target="embeddings/oleObject1.bin"/><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7.xml"/><Relationship Id="rId12" Type="http://schemas.openxmlformats.org/officeDocument/2006/relationships/header" Target="header6.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F47EF7-011E-49B6-BB5B-D6103EAECBE7}">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5181</Words>
  <Characters>6186</Characters>
  <Lines>63</Lines>
  <Paragraphs>17</Paragraphs>
  <TotalTime>3065</TotalTime>
  <ScaleCrop>false</ScaleCrop>
  <LinksUpToDate>false</LinksUpToDate>
  <CharactersWithSpaces>6618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2021-01-25T12:52:00Z</dcterms:created>
  <dc:creator>12607</dc:creator>
  <cp:lastModifiedBy>zZจุ๊บL</cp:lastModifiedBy>
  <cp:lastPrinted>2021-01-28T01:50:00Z</cp:lastPrinted>
  <dcterms:modified xsi:type="dcterms:W3CDTF">2024-09-07T12:23:24Z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4FE089CA99134A1FBEBCBA9B0ED374CF_12</vt:lpwstr>
  </property>
</Properties>
</file>